
<file path=[Content_Types].xml><?xml version="1.0" encoding="utf-8"?>
<Types xmlns="http://schemas.openxmlformats.org/package/2006/content-types">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86A" w:rsidRDefault="0003586A">
      <w:pPr>
        <w:pStyle w:val="Title2"/>
      </w:pPr>
      <w:bookmarkStart w:id="0" w:name="_GoBack"/>
      <w:bookmarkEnd w:id="0"/>
    </w:p>
    <w:p w:rsidR="0003586A" w:rsidRDefault="0003586A">
      <w:pPr>
        <w:pStyle w:val="Title2"/>
      </w:pPr>
    </w:p>
    <w:p w:rsidR="0003586A" w:rsidRDefault="0003586A">
      <w:pPr>
        <w:pStyle w:val="Title2"/>
      </w:pPr>
    </w:p>
    <w:p w:rsidR="0003586A" w:rsidRDefault="0003586A">
      <w:pPr>
        <w:pStyle w:val="Title2"/>
      </w:pPr>
    </w:p>
    <w:p w:rsidR="0003586A" w:rsidRDefault="0003586A">
      <w:pPr>
        <w:pStyle w:val="Title2"/>
      </w:pPr>
    </w:p>
    <w:p w:rsidR="0003586A" w:rsidRDefault="0003586A">
      <w:pPr>
        <w:pStyle w:val="Title2"/>
      </w:pPr>
    </w:p>
    <w:p w:rsidR="0003586A" w:rsidRDefault="0003586A">
      <w:pPr>
        <w:pStyle w:val="Title2"/>
      </w:pPr>
    </w:p>
    <w:p w:rsidR="0003586A" w:rsidRDefault="0003586A">
      <w:pPr>
        <w:pStyle w:val="Title2"/>
      </w:pPr>
    </w:p>
    <w:p w:rsidR="0003586A" w:rsidRDefault="00303132">
      <w:pPr>
        <w:pStyle w:val="Title2"/>
      </w:pPr>
      <w:r>
        <w:t xml:space="preserve">Organism Physiology: The </w:t>
      </w:r>
      <w:r w:rsidR="00A77962" w:rsidRPr="00DC5DF7">
        <w:rPr>
          <w:rFonts w:cstheme="minorHAnsi"/>
          <w:lang w:val="en"/>
        </w:rPr>
        <w:t xml:space="preserve">Collared </w:t>
      </w:r>
      <w:r w:rsidR="006B295C" w:rsidRPr="00DC5DF7">
        <w:rPr>
          <w:rFonts w:cstheme="minorHAnsi"/>
          <w:lang w:val="en"/>
        </w:rPr>
        <w:t>Peccary</w:t>
      </w:r>
    </w:p>
    <w:p w:rsidR="000D4C48" w:rsidRDefault="00BA0124">
      <w:pPr>
        <w:pStyle w:val="Title2"/>
      </w:pPr>
      <w:r>
        <w:t>Deborah Mayers</w:t>
      </w:r>
    </w:p>
    <w:p w:rsidR="000D4C48" w:rsidRDefault="00BA0124">
      <w:pPr>
        <w:pStyle w:val="Title2"/>
      </w:pPr>
      <w:r>
        <w:t>Biology 101</w:t>
      </w:r>
    </w:p>
    <w:p w:rsidR="00BA0124" w:rsidRDefault="00BA0124">
      <w:pPr>
        <w:pStyle w:val="Title2"/>
      </w:pPr>
      <w:r>
        <w:t>Dr. Doreen Sterling</w:t>
      </w:r>
    </w:p>
    <w:p w:rsidR="00BA0124" w:rsidRDefault="00BA0124">
      <w:pPr>
        <w:pStyle w:val="Title2"/>
      </w:pPr>
      <w:r>
        <w:t xml:space="preserve">July </w:t>
      </w:r>
      <w:r w:rsidR="00303132">
        <w:t>27</w:t>
      </w:r>
      <w:r>
        <w:t>, 2015</w:t>
      </w:r>
    </w:p>
    <w:p w:rsidR="000D4C48" w:rsidRDefault="005526F8">
      <w:pPr>
        <w:pStyle w:val="SectionTitle"/>
        <w:rPr>
          <w:rStyle w:val="body"/>
          <w:rFonts w:ascii="Open_Sans_Regular" w:hAnsi="Open_Sans_Regular" w:cs="Helvetica" w:hint="eastAsia"/>
          <w:i/>
          <w:color w:val="282828"/>
          <w:sz w:val="21"/>
          <w:szCs w:val="21"/>
          <w:lang w:val="en"/>
        </w:rPr>
      </w:pPr>
      <w:r>
        <w:lastRenderedPageBreak/>
        <w:t xml:space="preserve">Collared </w:t>
      </w:r>
      <w:r w:rsidR="006B295C">
        <w:t>Peccary</w:t>
      </w:r>
      <w:r w:rsidR="008E2BCE">
        <w:t xml:space="preserve"> (</w:t>
      </w:r>
      <w:r>
        <w:rPr>
          <w:i/>
          <w:iCs/>
        </w:rPr>
        <w:t>Pecari</w:t>
      </w:r>
      <w:r w:rsidR="005F283B">
        <w:rPr>
          <w:i/>
          <w:iCs/>
        </w:rPr>
        <w:t xml:space="preserve"> tajacu</w:t>
      </w:r>
      <w:r w:rsidR="008E2BCE">
        <w:rPr>
          <w:rStyle w:val="body"/>
          <w:rFonts w:ascii="Open_Sans_Regular" w:hAnsi="Open_Sans_Regular" w:cs="Helvetica"/>
          <w:i/>
          <w:color w:val="282828"/>
          <w:sz w:val="21"/>
          <w:szCs w:val="21"/>
          <w:lang w:val="en"/>
        </w:rPr>
        <w:t>)</w:t>
      </w:r>
    </w:p>
    <w:p w:rsidR="005526F8" w:rsidRDefault="005526F8" w:rsidP="00DC5DF7">
      <w:pPr>
        <w:pStyle w:val="NormalWeb"/>
        <w:ind w:firstLine="720"/>
      </w:pPr>
      <w:r w:rsidRPr="00DC5DF7">
        <w:rPr>
          <w:rFonts w:asciiTheme="minorHAnsi" w:hAnsiTheme="minorHAnsi" w:cstheme="minorHAnsi"/>
          <w:lang w:val="en"/>
        </w:rPr>
        <w:t xml:space="preserve">The Collared </w:t>
      </w:r>
      <w:r w:rsidR="006B295C" w:rsidRPr="00DC5DF7">
        <w:rPr>
          <w:rFonts w:asciiTheme="minorHAnsi" w:hAnsiTheme="minorHAnsi" w:cstheme="minorHAnsi"/>
          <w:lang w:val="en"/>
        </w:rPr>
        <w:t>Peccary</w:t>
      </w:r>
      <w:r w:rsidRPr="00DC5DF7">
        <w:rPr>
          <w:rFonts w:asciiTheme="minorHAnsi" w:hAnsiTheme="minorHAnsi" w:cstheme="minorHAnsi"/>
          <w:lang w:val="en"/>
        </w:rPr>
        <w:t xml:space="preserve">, also known as the Javelina in the US Southwest, originated in </w:t>
      </w:r>
      <w:r w:rsidR="00DC5DF7" w:rsidRPr="00DC5DF7">
        <w:rPr>
          <w:rFonts w:asciiTheme="minorHAnsi" w:hAnsiTheme="minorHAnsi" w:cstheme="minorHAnsi"/>
          <w:lang w:val="en"/>
        </w:rPr>
        <w:t>South America and migrated north into the Southwestern states of North America.  According to the Arizona Department of Game &amp; Fish (2015), “t</w:t>
      </w:r>
      <w:r w:rsidR="00DC5DF7" w:rsidRPr="00DC5DF7">
        <w:rPr>
          <w:rStyle w:val="body"/>
          <w:rFonts w:asciiTheme="minorHAnsi" w:hAnsiTheme="minorHAnsi" w:cstheme="minorHAnsi"/>
          <w:color w:val="282828"/>
          <w:lang w:val="en"/>
        </w:rPr>
        <w:t>he collared peccary has one of the greatest latitudinal ranges of any New World game animal, occurring from Arizona to Argentina…[and] the range of the peccary is still expanding, primarily northwestward” (para. 2).</w:t>
      </w:r>
    </w:p>
    <w:p w:rsidR="000D4C48" w:rsidRDefault="005526F8">
      <w:pPr>
        <w:pStyle w:val="Heading1"/>
      </w:pPr>
      <w:r>
        <w:t xml:space="preserve">Evolution of the </w:t>
      </w:r>
      <w:r w:rsidR="00A77962">
        <w:t xml:space="preserve">Collared </w:t>
      </w:r>
      <w:r w:rsidR="006B295C">
        <w:t>Peccary</w:t>
      </w:r>
    </w:p>
    <w:p w:rsidR="00D013ED" w:rsidRDefault="005D4F84" w:rsidP="00D013ED">
      <w:r>
        <w:rPr>
          <w:noProof/>
          <w:lang w:eastAsia="en-US"/>
        </w:rPr>
        <w:drawing>
          <wp:anchor distT="0" distB="0" distL="114300" distR="114300" simplePos="0" relativeHeight="251659264" behindDoc="1" locked="0" layoutInCell="1" allowOverlap="1" wp14:anchorId="5BA3EC36" wp14:editId="3AA9B181">
            <wp:simplePos x="0" y="0"/>
            <wp:positionH relativeFrom="column">
              <wp:posOffset>-114300</wp:posOffset>
            </wp:positionH>
            <wp:positionV relativeFrom="paragraph">
              <wp:posOffset>1565910</wp:posOffset>
            </wp:positionV>
            <wp:extent cx="6530340" cy="4000500"/>
            <wp:effectExtent l="0" t="0" r="3810" b="0"/>
            <wp:wrapTight wrapText="bothSides">
              <wp:wrapPolygon edited="0">
                <wp:start x="0" y="0"/>
                <wp:lineTo x="0" y="21497"/>
                <wp:lineTo x="21550" y="21497"/>
                <wp:lineTo x="215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jbsv03p0153g01.jpg"/>
                    <pic:cNvPicPr/>
                  </pic:nvPicPr>
                  <pic:blipFill>
                    <a:blip r:embed="rId11">
                      <a:extLst>
                        <a:ext uri="{28A0092B-C50C-407E-A947-70E740481C1C}">
                          <a14:useLocalDpi xmlns:a14="http://schemas.microsoft.com/office/drawing/2010/main" val="0"/>
                        </a:ext>
                      </a:extLst>
                    </a:blip>
                    <a:stretch>
                      <a:fillRect/>
                    </a:stretch>
                  </pic:blipFill>
                  <pic:spPr>
                    <a:xfrm>
                      <a:off x="0" y="0"/>
                      <a:ext cx="6530340" cy="4000500"/>
                    </a:xfrm>
                    <a:prstGeom prst="rect">
                      <a:avLst/>
                    </a:prstGeom>
                  </pic:spPr>
                </pic:pic>
              </a:graphicData>
            </a:graphic>
            <wp14:sizeRelH relativeFrom="margin">
              <wp14:pctWidth>0</wp14:pctWidth>
            </wp14:sizeRelH>
            <wp14:sizeRelV relativeFrom="margin">
              <wp14:pctHeight>0</wp14:pctHeight>
            </wp14:sizeRelV>
          </wp:anchor>
        </w:drawing>
      </w:r>
      <w:r w:rsidR="00A77962">
        <w:t xml:space="preserve">There are over </w:t>
      </w:r>
      <w:r w:rsidR="00A77962" w:rsidRPr="00A77962">
        <w:t xml:space="preserve">3000 </w:t>
      </w:r>
      <w:r w:rsidR="00A77962">
        <w:t>different species of porcine throughout the world and ma</w:t>
      </w:r>
      <w:r>
        <w:t>p</w:t>
      </w:r>
      <w:r w:rsidR="00A77962">
        <w:t>ping their evolution and taxonomy can “p</w:t>
      </w:r>
      <w:r w:rsidR="00A77962" w:rsidRPr="00A77962">
        <w:t>rovide further insight to the contribution of the different kinds of variation</w:t>
      </w:r>
      <w:r w:rsidR="00A77962">
        <w:t xml:space="preserve">” seen across the species </w:t>
      </w:r>
      <w:sdt>
        <w:sdtPr>
          <w:id w:val="-1364596803"/>
          <w:citation/>
        </w:sdtPr>
        <w:sdtEndPr/>
        <w:sdtContent>
          <w:r w:rsidR="00A77962">
            <w:fldChar w:fldCharType="begin"/>
          </w:r>
          <w:r w:rsidR="00A77962">
            <w:instrText xml:space="preserve"> CITATION Grouk \l 1033 </w:instrText>
          </w:r>
          <w:r w:rsidR="00A77962">
            <w:fldChar w:fldCharType="separate"/>
          </w:r>
          <w:r w:rsidR="00241DBC">
            <w:rPr>
              <w:noProof/>
            </w:rPr>
            <w:t>(Groenen M. , u.k.)</w:t>
          </w:r>
          <w:r w:rsidR="00A77962">
            <w:fldChar w:fldCharType="end"/>
          </w:r>
        </w:sdtContent>
      </w:sdt>
      <w:r>
        <w:t xml:space="preserve">. </w:t>
      </w:r>
      <w:r w:rsidR="00B8737F">
        <w:t xml:space="preserve">While the Collared </w:t>
      </w:r>
      <w:r w:rsidR="006B295C">
        <w:t>Peccary’s</w:t>
      </w:r>
      <w:r w:rsidR="00B8737F">
        <w:t xml:space="preserve"> branch of the phylogenetic tree is much removed from the domestica</w:t>
      </w:r>
      <w:r w:rsidR="00D013ED">
        <w:t>ted pig, t</w:t>
      </w:r>
      <w:r>
        <w:t xml:space="preserve">he </w:t>
      </w:r>
      <w:r w:rsidR="00D013ED">
        <w:t xml:space="preserve">classification and </w:t>
      </w:r>
      <w:r w:rsidR="00D013ED">
        <w:lastRenderedPageBreak/>
        <w:t>phylogeny</w:t>
      </w:r>
      <w:r>
        <w:t xml:space="preserve"> of the Collared </w:t>
      </w:r>
      <w:r w:rsidR="006B295C">
        <w:t>Peccary</w:t>
      </w:r>
      <w:r>
        <w:t xml:space="preserve"> </w:t>
      </w:r>
      <w:r w:rsidR="00D013ED">
        <w:t xml:space="preserve">“exhibit[s] fundamental similarities because they evolved from the same structure in a common ancestor” </w:t>
      </w:r>
      <w:sdt>
        <w:sdtPr>
          <w:id w:val="1602301414"/>
          <w:citation/>
        </w:sdtPr>
        <w:sdtEndPr/>
        <w:sdtContent>
          <w:r w:rsidR="00D013ED">
            <w:fldChar w:fldCharType="begin"/>
          </w:r>
          <w:r w:rsidR="00D013ED">
            <w:instrText xml:space="preserve">CITATION Sim13 \p 286 \l 1033 </w:instrText>
          </w:r>
          <w:r w:rsidR="00D013ED">
            <w:fldChar w:fldCharType="separate"/>
          </w:r>
          <w:r w:rsidR="00241DBC">
            <w:rPr>
              <w:noProof/>
            </w:rPr>
            <w:t>(Simon, Dickey, &amp; Reece, 2013, p. 286)</w:t>
          </w:r>
          <w:r w:rsidR="00D013ED">
            <w:fldChar w:fldCharType="end"/>
          </w:r>
        </w:sdtContent>
      </w:sdt>
      <w:r w:rsidR="00D013ED">
        <w:t xml:space="preserve">. </w:t>
      </w:r>
    </w:p>
    <w:p w:rsidR="00D013ED" w:rsidRDefault="00337BC2" w:rsidP="00A37918">
      <w:pPr>
        <w:ind w:firstLine="0"/>
      </w:pPr>
      <w:r>
        <w:rPr>
          <w:i/>
        </w:rPr>
        <w:t>Growth and Development</w:t>
      </w:r>
    </w:p>
    <w:p w:rsidR="00322B49" w:rsidRDefault="00A37918" w:rsidP="009648C7">
      <w:pPr>
        <w:ind w:firstLine="0"/>
        <w:rPr>
          <w:rFonts w:cstheme="minorHAnsi"/>
          <w:color w:val="282828"/>
          <w:lang w:val="en"/>
        </w:rPr>
      </w:pPr>
      <w:r>
        <w:tab/>
      </w:r>
      <w:r w:rsidRPr="00322B49">
        <w:rPr>
          <w:rFonts w:cstheme="minorHAnsi"/>
        </w:rPr>
        <w:t xml:space="preserve">The Collared </w:t>
      </w:r>
      <w:r w:rsidR="006B295C" w:rsidRPr="00322B49">
        <w:rPr>
          <w:rFonts w:cstheme="minorHAnsi"/>
        </w:rPr>
        <w:t>Peccary</w:t>
      </w:r>
      <w:r w:rsidRPr="00322B49">
        <w:rPr>
          <w:rFonts w:cstheme="minorHAnsi"/>
        </w:rPr>
        <w:t xml:space="preserve"> are diminutive in relation to many of their cousins, weighing in between 35 to 60 </w:t>
      </w:r>
      <w:r w:rsidR="006B295C" w:rsidRPr="00322B49">
        <w:rPr>
          <w:rFonts w:cstheme="minorHAnsi"/>
        </w:rPr>
        <w:t>lbs.</w:t>
      </w:r>
      <w:r w:rsidRPr="00322B49">
        <w:rPr>
          <w:rFonts w:cstheme="minorHAnsi"/>
        </w:rPr>
        <w:t xml:space="preserve"> and standing at only a “</w:t>
      </w:r>
      <w:r w:rsidR="00931C71" w:rsidRPr="00322B49">
        <w:rPr>
          <w:rFonts w:cstheme="minorHAnsi"/>
          <w:color w:val="000000"/>
        </w:rPr>
        <w:t>shoulder height from 20 to 24 inches</w:t>
      </w:r>
      <w:r w:rsidRPr="00322B49">
        <w:rPr>
          <w:rFonts w:cstheme="minorHAnsi"/>
          <w:color w:val="000000"/>
        </w:rPr>
        <w:t>…</w:t>
      </w:r>
      <w:r w:rsidR="00931C71" w:rsidRPr="00322B49">
        <w:rPr>
          <w:rFonts w:cstheme="minorHAnsi"/>
          <w:color w:val="000000"/>
        </w:rPr>
        <w:t>their length from head to tail is from 36 to 48 inches</w:t>
      </w:r>
      <w:r w:rsidRPr="00322B49">
        <w:rPr>
          <w:rFonts w:cstheme="minorHAnsi"/>
          <w:color w:val="000000"/>
        </w:rPr>
        <w:t>”</w:t>
      </w:r>
      <w:sdt>
        <w:sdtPr>
          <w:rPr>
            <w:rFonts w:cstheme="minorHAnsi"/>
            <w:color w:val="000000"/>
          </w:rPr>
          <w:id w:val="1916581926"/>
          <w:citation/>
        </w:sdtPr>
        <w:sdtEndPr/>
        <w:sdtContent>
          <w:r w:rsidRPr="00322B49">
            <w:rPr>
              <w:rFonts w:cstheme="minorHAnsi"/>
              <w:color w:val="000000"/>
            </w:rPr>
            <w:fldChar w:fldCharType="begin"/>
          </w:r>
          <w:r w:rsidRPr="00322B49">
            <w:rPr>
              <w:rFonts w:cstheme="minorHAnsi"/>
              <w:color w:val="000000"/>
            </w:rPr>
            <w:instrText xml:space="preserve">CITATION Pon08 \p 1 \l 1033 </w:instrText>
          </w:r>
          <w:r w:rsidRPr="00322B49">
            <w:rPr>
              <w:rFonts w:cstheme="minorHAnsi"/>
              <w:color w:val="000000"/>
            </w:rPr>
            <w:fldChar w:fldCharType="separate"/>
          </w:r>
          <w:r w:rsidR="00241DBC">
            <w:rPr>
              <w:rFonts w:cstheme="minorHAnsi"/>
              <w:noProof/>
              <w:color w:val="000000"/>
            </w:rPr>
            <w:t xml:space="preserve"> </w:t>
          </w:r>
          <w:r w:rsidR="00241DBC" w:rsidRPr="00241DBC">
            <w:rPr>
              <w:rFonts w:cstheme="minorHAnsi"/>
              <w:noProof/>
              <w:color w:val="000000"/>
            </w:rPr>
            <w:t>(Ponderosa Images Co., 2008, p. 1)</w:t>
          </w:r>
          <w:r w:rsidRPr="00322B49">
            <w:rPr>
              <w:rFonts w:cstheme="minorHAnsi"/>
              <w:color w:val="000000"/>
            </w:rPr>
            <w:fldChar w:fldCharType="end"/>
          </w:r>
        </w:sdtContent>
      </w:sdt>
      <w:r w:rsidR="00931C71" w:rsidRPr="00322B49">
        <w:rPr>
          <w:rFonts w:cstheme="minorHAnsi"/>
          <w:color w:val="000000"/>
        </w:rPr>
        <w:t xml:space="preserve">. </w:t>
      </w:r>
      <w:r w:rsidR="009648C7" w:rsidRPr="00322B49">
        <w:rPr>
          <w:rFonts w:cstheme="minorHAnsi"/>
          <w:color w:val="000000"/>
        </w:rPr>
        <w:t xml:space="preserve">When born </w:t>
      </w:r>
      <w:r w:rsidR="009648C7" w:rsidRPr="000737A0">
        <w:rPr>
          <w:rFonts w:cstheme="minorHAnsi"/>
          <w:color w:val="000000"/>
        </w:rPr>
        <w:t xml:space="preserve">Collared </w:t>
      </w:r>
      <w:r w:rsidR="006B295C" w:rsidRPr="000737A0">
        <w:rPr>
          <w:rFonts w:cstheme="minorHAnsi"/>
          <w:color w:val="000000"/>
        </w:rPr>
        <w:t>Peccary</w:t>
      </w:r>
      <w:r w:rsidR="009648C7" w:rsidRPr="000737A0">
        <w:rPr>
          <w:rFonts w:cstheme="minorHAnsi"/>
          <w:color w:val="000000"/>
        </w:rPr>
        <w:t xml:space="preserve"> only weigh around one pound and “</w:t>
      </w:r>
      <w:r w:rsidR="00337BC2" w:rsidRPr="000737A0">
        <w:rPr>
          <w:rFonts w:cstheme="minorHAnsi"/>
          <w:color w:val="282828"/>
          <w:lang w:val="en"/>
        </w:rPr>
        <w:t>are tan to brownish in color with a reddish dorsal stripe</w:t>
      </w:r>
      <w:r w:rsidR="009648C7" w:rsidRPr="000737A0">
        <w:rPr>
          <w:rFonts w:cstheme="minorHAnsi"/>
          <w:color w:val="282828"/>
          <w:lang w:val="en"/>
        </w:rPr>
        <w:t>”</w:t>
      </w:r>
      <w:r w:rsidR="009648C7" w:rsidRPr="000737A0">
        <w:rPr>
          <w:rFonts w:cstheme="minorHAnsi"/>
          <w:noProof/>
          <w:color w:val="282828"/>
        </w:rPr>
        <w:t xml:space="preserve"> (Department of Arizona Game &amp; Fish, 2015, para. 2)</w:t>
      </w:r>
      <w:r w:rsidR="00337BC2" w:rsidRPr="000737A0">
        <w:rPr>
          <w:rFonts w:cstheme="minorHAnsi"/>
          <w:color w:val="282828"/>
          <w:lang w:val="en"/>
        </w:rPr>
        <w:t xml:space="preserve">. </w:t>
      </w:r>
      <w:r w:rsidR="00322B49" w:rsidRPr="000737A0">
        <w:rPr>
          <w:rFonts w:cstheme="minorHAnsi"/>
          <w:color w:val="282828"/>
          <w:lang w:val="en"/>
        </w:rPr>
        <w:t>It is not until the offspring reach three months of age that they develop the “salt and pepper appearance of adults” which is due to whitish bands on the black hairs”</w:t>
      </w:r>
      <w:r w:rsidR="00322B49" w:rsidRPr="000737A0">
        <w:rPr>
          <w:rFonts w:cstheme="minorHAnsi"/>
          <w:noProof/>
          <w:color w:val="282828"/>
        </w:rPr>
        <w:t xml:space="preserve"> (Department of Arizona Game &amp; Fish, 2015, para. 2). The black hairs are located along the spine of can be “</w:t>
      </w:r>
      <w:r w:rsidR="00322B49" w:rsidRPr="000737A0">
        <w:rPr>
          <w:rFonts w:cstheme="minorHAnsi"/>
          <w:color w:val="282828"/>
          <w:lang w:val="en"/>
        </w:rPr>
        <w:t>up to six inches long, with the mane being blackest, longest, and erectile”</w:t>
      </w:r>
      <w:r w:rsidR="000737A0" w:rsidRPr="000737A0">
        <w:rPr>
          <w:rFonts w:cstheme="minorHAnsi"/>
          <w:noProof/>
          <w:color w:val="282828"/>
        </w:rPr>
        <w:t xml:space="preserve"> (Department of Arizona Game &amp; Fish, 2015, para. 2)</w:t>
      </w:r>
      <w:r w:rsidR="00322B49" w:rsidRPr="000737A0">
        <w:rPr>
          <w:rFonts w:cstheme="minorHAnsi"/>
          <w:color w:val="282828"/>
          <w:lang w:val="en"/>
        </w:rPr>
        <w:t>.</w:t>
      </w:r>
      <w:r w:rsidR="00322B49" w:rsidRPr="000737A0">
        <w:rPr>
          <w:rFonts w:cstheme="minorHAnsi"/>
          <w:noProof/>
          <w:color w:val="282828"/>
        </w:rPr>
        <w:t>This coloring many have developed in response to the environment and could all</w:t>
      </w:r>
      <w:r w:rsidR="000737A0" w:rsidRPr="000737A0">
        <w:rPr>
          <w:rFonts w:cstheme="minorHAnsi"/>
          <w:noProof/>
          <w:color w:val="282828"/>
        </w:rPr>
        <w:t>ow for camoflaush from predators.  Another possible purpose of the six inch mane could be that it functions along the same lines as wiskers or feelers that can help navigation or provide warnings</w:t>
      </w:r>
      <w:r w:rsidR="00322B49" w:rsidRPr="000737A0">
        <w:rPr>
          <w:rFonts w:cstheme="minorHAnsi"/>
          <w:noProof/>
          <w:color w:val="282828"/>
        </w:rPr>
        <w:t xml:space="preserve">.  </w:t>
      </w:r>
      <w:r w:rsidR="00322B49" w:rsidRPr="000737A0">
        <w:rPr>
          <w:rFonts w:cstheme="minorHAnsi"/>
          <w:color w:val="282828"/>
          <w:lang w:val="en"/>
        </w:rPr>
        <w:t xml:space="preserve"> </w:t>
      </w:r>
    </w:p>
    <w:p w:rsidR="000737A0" w:rsidRDefault="000737A0" w:rsidP="000737A0">
      <w:pPr>
        <w:ind w:firstLine="0"/>
        <w:jc w:val="center"/>
        <w:rPr>
          <w:rFonts w:cstheme="minorHAnsi"/>
          <w:color w:val="282828"/>
          <w:lang w:val="en"/>
        </w:rPr>
      </w:pPr>
      <w:r>
        <w:rPr>
          <w:rFonts w:cstheme="minorHAnsi"/>
          <w:noProof/>
          <w:color w:val="282828"/>
          <w:lang w:eastAsia="en-US"/>
        </w:rPr>
        <w:drawing>
          <wp:inline distT="0" distB="0" distL="0" distR="0">
            <wp:extent cx="4381500" cy="22669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hRTVAEXKW.jpg"/>
                    <pic:cNvPicPr/>
                  </pic:nvPicPr>
                  <pic:blipFill>
                    <a:blip r:embed="rId12">
                      <a:extLst>
                        <a:ext uri="{28A0092B-C50C-407E-A947-70E740481C1C}">
                          <a14:useLocalDpi xmlns:a14="http://schemas.microsoft.com/office/drawing/2010/main" val="0"/>
                        </a:ext>
                      </a:extLst>
                    </a:blip>
                    <a:stretch>
                      <a:fillRect/>
                    </a:stretch>
                  </pic:blipFill>
                  <pic:spPr>
                    <a:xfrm>
                      <a:off x="0" y="0"/>
                      <a:ext cx="4381500" cy="2266950"/>
                    </a:xfrm>
                    <a:prstGeom prst="rect">
                      <a:avLst/>
                    </a:prstGeom>
                  </pic:spPr>
                </pic:pic>
              </a:graphicData>
            </a:graphic>
          </wp:inline>
        </w:drawing>
      </w:r>
    </w:p>
    <w:p w:rsidR="00337BC2" w:rsidRPr="008E390E" w:rsidRDefault="000737A0" w:rsidP="00337BC2">
      <w:pPr>
        <w:ind w:firstLine="0"/>
        <w:rPr>
          <w:rFonts w:eastAsia="Times New Roman" w:cstheme="minorHAnsi"/>
          <w:kern w:val="0"/>
          <w:lang w:eastAsia="en-US"/>
        </w:rPr>
      </w:pPr>
      <w:r>
        <w:rPr>
          <w:rFonts w:cstheme="minorHAnsi"/>
          <w:color w:val="282828"/>
          <w:lang w:val="en"/>
        </w:rPr>
        <w:tab/>
      </w:r>
      <w:r w:rsidRPr="008E390E">
        <w:rPr>
          <w:rFonts w:cstheme="minorHAnsi"/>
          <w:color w:val="282828"/>
          <w:lang w:val="en"/>
        </w:rPr>
        <w:t xml:space="preserve">Due to the Collared </w:t>
      </w:r>
      <w:r w:rsidR="006B295C" w:rsidRPr="008E390E">
        <w:rPr>
          <w:rFonts w:cstheme="minorHAnsi"/>
          <w:color w:val="282828"/>
          <w:lang w:val="en"/>
        </w:rPr>
        <w:t>Peccary’s</w:t>
      </w:r>
      <w:r w:rsidRPr="008E390E">
        <w:rPr>
          <w:rFonts w:cstheme="minorHAnsi"/>
          <w:color w:val="282828"/>
          <w:lang w:val="en"/>
        </w:rPr>
        <w:t xml:space="preserve"> low center of gravity, their major organs are situated beneath the spine, lower to the ground making </w:t>
      </w:r>
      <w:r w:rsidR="008E390E" w:rsidRPr="008E390E">
        <w:rPr>
          <w:rFonts w:cstheme="minorHAnsi"/>
          <w:color w:val="282828"/>
          <w:lang w:val="en"/>
        </w:rPr>
        <w:t>t</w:t>
      </w:r>
      <w:r w:rsidRPr="008E390E">
        <w:rPr>
          <w:rFonts w:cstheme="minorHAnsi"/>
          <w:color w:val="282828"/>
          <w:lang w:val="en"/>
        </w:rPr>
        <w:t>he underside of the belly</w:t>
      </w:r>
      <w:r w:rsidR="008E390E" w:rsidRPr="008E390E">
        <w:rPr>
          <w:rFonts w:cstheme="minorHAnsi"/>
          <w:color w:val="282828"/>
          <w:lang w:val="en"/>
        </w:rPr>
        <w:t xml:space="preserve"> their vulnerability</w:t>
      </w:r>
      <w:r w:rsidRPr="008E390E">
        <w:rPr>
          <w:rFonts w:cstheme="minorHAnsi"/>
          <w:color w:val="282828"/>
          <w:lang w:val="en"/>
        </w:rPr>
        <w:t>.</w:t>
      </w:r>
      <w:r w:rsidR="008E390E" w:rsidRPr="008E390E">
        <w:rPr>
          <w:rFonts w:cstheme="minorHAnsi"/>
          <w:color w:val="282828"/>
          <w:lang w:val="en"/>
        </w:rPr>
        <w:t xml:space="preserve"> </w:t>
      </w:r>
      <w:r w:rsidR="006B295C" w:rsidRPr="008E390E">
        <w:rPr>
          <w:rFonts w:cstheme="minorHAnsi"/>
          <w:color w:val="282828"/>
          <w:lang w:val="en"/>
        </w:rPr>
        <w:t xml:space="preserve">In </w:t>
      </w:r>
      <w:r w:rsidR="006B295C" w:rsidRPr="008E390E">
        <w:rPr>
          <w:rFonts w:cstheme="minorHAnsi"/>
          <w:color w:val="282828"/>
          <w:lang w:val="en"/>
        </w:rPr>
        <w:lastRenderedPageBreak/>
        <w:t>addition</w:t>
      </w:r>
      <w:r w:rsidR="008E390E" w:rsidRPr="008E390E">
        <w:rPr>
          <w:rFonts w:cstheme="minorHAnsi"/>
          <w:color w:val="282828"/>
          <w:lang w:val="en"/>
        </w:rPr>
        <w:t>, w</w:t>
      </w:r>
      <w:r w:rsidRPr="008E390E">
        <w:rPr>
          <w:rFonts w:cstheme="minorHAnsi"/>
          <w:color w:val="282828"/>
          <w:lang w:val="en"/>
        </w:rPr>
        <w:t>ith their short legs the danger of being up-ended with their belly exposed would be a w</w:t>
      </w:r>
      <w:r w:rsidR="008E390E" w:rsidRPr="008E390E">
        <w:rPr>
          <w:rFonts w:cstheme="minorHAnsi"/>
          <w:color w:val="282828"/>
          <w:lang w:val="en"/>
        </w:rPr>
        <w:t xml:space="preserve">eakness that could be </w:t>
      </w:r>
      <w:r w:rsidR="006B295C" w:rsidRPr="008E390E">
        <w:rPr>
          <w:rFonts w:cstheme="minorHAnsi"/>
          <w:color w:val="282828"/>
          <w:lang w:val="en"/>
        </w:rPr>
        <w:t>exploited</w:t>
      </w:r>
      <w:r w:rsidR="008E390E" w:rsidRPr="008E390E">
        <w:rPr>
          <w:rFonts w:cstheme="minorHAnsi"/>
          <w:color w:val="282828"/>
          <w:lang w:val="en"/>
        </w:rPr>
        <w:t xml:space="preserve"> by predators. One of the ways that nature has combated this weakness is to provide the porcine species with “</w:t>
      </w:r>
      <w:r w:rsidR="00337BC2" w:rsidRPr="008E390E">
        <w:rPr>
          <w:rFonts w:cstheme="minorHAnsi"/>
          <w:color w:val="333333"/>
          <w:lang w:val="en"/>
        </w:rPr>
        <w:t>the largest repertoire of functional olfactory receptor genes, reflecting the importance of smell</w:t>
      </w:r>
      <w:r w:rsidR="008E390E" w:rsidRPr="008E390E">
        <w:rPr>
          <w:rFonts w:cstheme="minorHAnsi"/>
          <w:color w:val="333333"/>
          <w:lang w:val="en"/>
        </w:rPr>
        <w:t>”</w:t>
      </w:r>
      <w:r w:rsidR="00F433E6">
        <w:rPr>
          <w:rFonts w:cstheme="minorHAnsi"/>
          <w:color w:val="333333"/>
          <w:lang w:val="en"/>
        </w:rPr>
        <w:t xml:space="preserve"> which could provide warnings regarding possible dangers and also allow for the scavenging of food</w:t>
      </w:r>
      <w:r w:rsidR="000806BE">
        <w:rPr>
          <w:rFonts w:cstheme="minorHAnsi"/>
          <w:noProof/>
          <w:color w:val="333333"/>
        </w:rPr>
        <w:t xml:space="preserve"> </w:t>
      </w:r>
      <w:r w:rsidR="000806BE" w:rsidRPr="000806BE">
        <w:rPr>
          <w:rFonts w:cstheme="minorHAnsi"/>
          <w:noProof/>
          <w:color w:val="333333"/>
        </w:rPr>
        <w:t>(Groenen &amp; Archibald, 2012</w:t>
      </w:r>
      <w:r w:rsidR="000806BE">
        <w:rPr>
          <w:rFonts w:cstheme="minorHAnsi"/>
          <w:noProof/>
          <w:color w:val="333333"/>
        </w:rPr>
        <w:t>, para. 1</w:t>
      </w:r>
      <w:r w:rsidR="000806BE" w:rsidRPr="000806BE">
        <w:rPr>
          <w:rFonts w:cstheme="minorHAnsi"/>
          <w:noProof/>
          <w:color w:val="333333"/>
        </w:rPr>
        <w:t>)</w:t>
      </w:r>
      <w:r w:rsidR="00337BC2" w:rsidRPr="008E390E">
        <w:rPr>
          <w:rFonts w:cstheme="minorHAnsi"/>
          <w:color w:val="333333"/>
          <w:lang w:val="en"/>
        </w:rPr>
        <w:t xml:space="preserve">. </w:t>
      </w:r>
    </w:p>
    <w:p w:rsidR="00A37918" w:rsidRDefault="00A37918" w:rsidP="00A37918">
      <w:pPr>
        <w:ind w:firstLine="0"/>
        <w:rPr>
          <w:rFonts w:asciiTheme="majorHAnsi" w:hAnsiTheme="majorHAnsi" w:cstheme="majorHAnsi"/>
          <w:i/>
          <w:color w:val="000000"/>
        </w:rPr>
      </w:pPr>
      <w:r w:rsidRPr="00BC1900">
        <w:rPr>
          <w:rFonts w:asciiTheme="majorHAnsi" w:hAnsiTheme="majorHAnsi" w:cstheme="majorHAnsi"/>
          <w:i/>
          <w:color w:val="000000"/>
        </w:rPr>
        <w:t>Reproduction</w:t>
      </w:r>
    </w:p>
    <w:p w:rsidR="00A37918" w:rsidRDefault="00BC1900" w:rsidP="00A37918">
      <w:pPr>
        <w:ind w:firstLine="0"/>
        <w:rPr>
          <w:rFonts w:ascii="Helvetica" w:hAnsi="Helvetica" w:cs="Helvetica"/>
          <w:i/>
          <w:color w:val="000000"/>
        </w:rPr>
      </w:pPr>
      <w:r>
        <w:rPr>
          <w:rFonts w:asciiTheme="majorHAnsi" w:hAnsiTheme="majorHAnsi" w:cstheme="majorHAnsi"/>
          <w:color w:val="000000"/>
        </w:rPr>
        <w:tab/>
      </w:r>
      <w:r w:rsidRPr="003116FE">
        <w:rPr>
          <w:rFonts w:cstheme="minorHAnsi"/>
          <w:color w:val="282828"/>
          <w:lang w:val="en"/>
        </w:rPr>
        <w:t xml:space="preserve">The Collared </w:t>
      </w:r>
      <w:r w:rsidR="006B295C" w:rsidRPr="003116FE">
        <w:rPr>
          <w:rFonts w:cstheme="minorHAnsi"/>
          <w:color w:val="282828"/>
          <w:lang w:val="en"/>
        </w:rPr>
        <w:t>Peccary</w:t>
      </w:r>
      <w:r w:rsidRPr="003116FE">
        <w:rPr>
          <w:rFonts w:cstheme="minorHAnsi"/>
          <w:color w:val="282828"/>
          <w:lang w:val="en"/>
        </w:rPr>
        <w:t xml:space="preserve"> reach maturity in around 10 months and are ready to produce offspring</w:t>
      </w:r>
      <w:r w:rsidRPr="003116FE">
        <w:rPr>
          <w:rFonts w:cstheme="minorHAnsi"/>
          <w:noProof/>
          <w:color w:val="282828"/>
        </w:rPr>
        <w:t xml:space="preserve"> (Department of Arizona Game &amp; Fish, 2015, para. 3)</w:t>
      </w:r>
      <w:r w:rsidRPr="003116FE">
        <w:rPr>
          <w:rFonts w:cstheme="minorHAnsi"/>
          <w:color w:val="282828"/>
          <w:lang w:val="en"/>
        </w:rPr>
        <w:t>.</w:t>
      </w:r>
      <w:r w:rsidR="003116FE" w:rsidRPr="003116FE">
        <w:rPr>
          <w:rFonts w:cstheme="minorHAnsi"/>
          <w:color w:val="282828"/>
          <w:lang w:val="en"/>
        </w:rPr>
        <w:t xml:space="preserve"> Their reproduction cycle is year round with a incubation period of “140 to 150 days</w:t>
      </w:r>
      <w:r w:rsidR="003116FE" w:rsidRPr="003116FE">
        <w:rPr>
          <w:rFonts w:cstheme="minorHAnsi"/>
          <w:color w:val="000000"/>
        </w:rPr>
        <w:t xml:space="preserve"> and they average giving birth to 2 you</w:t>
      </w:r>
      <w:r w:rsidR="003116FE">
        <w:rPr>
          <w:rFonts w:cstheme="minorHAnsi"/>
          <w:color w:val="000000"/>
        </w:rPr>
        <w:t>ng, but sometime they do have 3”</w:t>
      </w:r>
      <w:r w:rsidR="003116FE">
        <w:rPr>
          <w:rFonts w:cstheme="minorHAnsi"/>
          <w:noProof/>
          <w:color w:val="000000"/>
        </w:rPr>
        <w:t xml:space="preserve"> </w:t>
      </w:r>
      <w:r w:rsidR="003116FE" w:rsidRPr="003116FE">
        <w:rPr>
          <w:rFonts w:cstheme="minorHAnsi"/>
          <w:noProof/>
          <w:color w:val="000000"/>
        </w:rPr>
        <w:t>(New Hamphire Public Television, 2015</w:t>
      </w:r>
      <w:r w:rsidR="003116FE">
        <w:rPr>
          <w:rFonts w:cstheme="minorHAnsi"/>
          <w:noProof/>
          <w:color w:val="000000"/>
        </w:rPr>
        <w:t>, para. 2</w:t>
      </w:r>
      <w:r w:rsidR="003116FE" w:rsidRPr="003116FE">
        <w:rPr>
          <w:rFonts w:cstheme="minorHAnsi"/>
          <w:noProof/>
          <w:color w:val="000000"/>
        </w:rPr>
        <w:t>)</w:t>
      </w:r>
      <w:r w:rsidR="003116FE">
        <w:rPr>
          <w:rFonts w:cstheme="minorHAnsi"/>
          <w:noProof/>
          <w:color w:val="000000"/>
        </w:rPr>
        <w:t>. In Darwin’s theory of natural selection he denotes “that all species tend to produce excessive numbers of offspring”</w:t>
      </w:r>
      <w:sdt>
        <w:sdtPr>
          <w:rPr>
            <w:rFonts w:cstheme="minorHAnsi"/>
            <w:noProof/>
            <w:color w:val="000000"/>
          </w:rPr>
          <w:id w:val="651113463"/>
          <w:citation/>
        </w:sdtPr>
        <w:sdtEndPr/>
        <w:sdtContent>
          <w:r w:rsidR="003116FE" w:rsidRPr="005844D1">
            <w:rPr>
              <w:rFonts w:cstheme="minorHAnsi"/>
              <w:noProof/>
              <w:color w:val="000000"/>
            </w:rPr>
            <w:fldChar w:fldCharType="begin"/>
          </w:r>
          <w:r w:rsidR="003116FE" w:rsidRPr="005844D1">
            <w:rPr>
              <w:rFonts w:cstheme="minorHAnsi"/>
              <w:noProof/>
              <w:color w:val="000000"/>
            </w:rPr>
            <w:instrText xml:space="preserve">CITATION Sim13 \p 252 \l 1033 </w:instrText>
          </w:r>
          <w:r w:rsidR="003116FE" w:rsidRPr="005844D1">
            <w:rPr>
              <w:rFonts w:cstheme="minorHAnsi"/>
              <w:noProof/>
              <w:color w:val="000000"/>
            </w:rPr>
            <w:fldChar w:fldCharType="separate"/>
          </w:r>
          <w:r w:rsidR="00241DBC">
            <w:rPr>
              <w:rFonts w:cstheme="minorHAnsi"/>
              <w:noProof/>
              <w:color w:val="000000"/>
            </w:rPr>
            <w:t xml:space="preserve"> </w:t>
          </w:r>
          <w:r w:rsidR="00241DBC" w:rsidRPr="00241DBC">
            <w:rPr>
              <w:rFonts w:cstheme="minorHAnsi"/>
              <w:noProof/>
              <w:color w:val="000000"/>
            </w:rPr>
            <w:t>(Simon, Dickey, &amp; Reece, 2013, p. 252)</w:t>
          </w:r>
          <w:r w:rsidR="003116FE" w:rsidRPr="005844D1">
            <w:rPr>
              <w:rFonts w:cstheme="minorHAnsi"/>
              <w:noProof/>
              <w:color w:val="000000"/>
            </w:rPr>
            <w:fldChar w:fldCharType="end"/>
          </w:r>
        </w:sdtContent>
      </w:sdt>
      <w:r w:rsidR="003116FE" w:rsidRPr="005844D1">
        <w:rPr>
          <w:rFonts w:cstheme="minorHAnsi"/>
          <w:noProof/>
          <w:color w:val="000000"/>
        </w:rPr>
        <w:t xml:space="preserve">.  In this venue it is possible that the Collared Paccary adapted to </w:t>
      </w:r>
      <w:r w:rsidR="006B295C">
        <w:rPr>
          <w:rFonts w:cstheme="minorHAnsi"/>
          <w:noProof/>
          <w:color w:val="000000"/>
        </w:rPr>
        <w:t>a</w:t>
      </w:r>
      <w:r w:rsidR="003116FE" w:rsidRPr="005844D1">
        <w:rPr>
          <w:rFonts w:cstheme="minorHAnsi"/>
          <w:noProof/>
          <w:color w:val="000000"/>
        </w:rPr>
        <w:t xml:space="preserve"> high offspring mortality rate </w:t>
      </w:r>
      <w:r w:rsidR="005844D1" w:rsidRPr="005844D1">
        <w:rPr>
          <w:rFonts w:cstheme="minorHAnsi"/>
          <w:noProof/>
          <w:color w:val="000000"/>
        </w:rPr>
        <w:t xml:space="preserve">with </w:t>
      </w:r>
      <w:r w:rsidR="006B295C">
        <w:rPr>
          <w:rFonts w:cstheme="minorHAnsi"/>
          <w:noProof/>
          <w:color w:val="000000"/>
        </w:rPr>
        <w:t>an</w:t>
      </w:r>
      <w:r w:rsidR="005844D1" w:rsidRPr="005844D1">
        <w:rPr>
          <w:rFonts w:cstheme="minorHAnsi"/>
          <w:noProof/>
          <w:color w:val="000000"/>
        </w:rPr>
        <w:t xml:space="preserve"> early </w:t>
      </w:r>
      <w:r w:rsidR="005844D1">
        <w:rPr>
          <w:rFonts w:cstheme="minorHAnsi"/>
          <w:noProof/>
          <w:color w:val="000000"/>
        </w:rPr>
        <w:t>development</w:t>
      </w:r>
      <w:r w:rsidR="005844D1" w:rsidRPr="005844D1">
        <w:rPr>
          <w:rFonts w:cstheme="minorHAnsi"/>
          <w:noProof/>
          <w:color w:val="000000"/>
        </w:rPr>
        <w:t xml:space="preserve"> rate and </w:t>
      </w:r>
      <w:r w:rsidR="006B295C">
        <w:rPr>
          <w:rFonts w:cstheme="minorHAnsi"/>
          <w:noProof/>
          <w:color w:val="000000"/>
        </w:rPr>
        <w:t>also by</w:t>
      </w:r>
      <w:r w:rsidR="003116FE" w:rsidRPr="005844D1">
        <w:rPr>
          <w:rFonts w:cstheme="minorHAnsi"/>
          <w:noProof/>
          <w:color w:val="000000"/>
        </w:rPr>
        <w:t xml:space="preserve"> being able to breed all year long</w:t>
      </w:r>
      <w:r w:rsidR="006B295C">
        <w:rPr>
          <w:rFonts w:cstheme="minorHAnsi"/>
          <w:noProof/>
          <w:color w:val="000000"/>
        </w:rPr>
        <w:t>.  This</w:t>
      </w:r>
      <w:r w:rsidR="003116FE" w:rsidRPr="005844D1">
        <w:rPr>
          <w:rFonts w:cstheme="minorHAnsi"/>
          <w:noProof/>
          <w:color w:val="000000"/>
        </w:rPr>
        <w:t xml:space="preserve"> provided them the “</w:t>
      </w:r>
      <w:r w:rsidR="00A37918" w:rsidRPr="005844D1">
        <w:rPr>
          <w:rFonts w:cstheme="minorHAnsi"/>
          <w:color w:val="282828"/>
          <w:lang w:val="en"/>
        </w:rPr>
        <w:t xml:space="preserve">ability to have two litters in one year </w:t>
      </w:r>
      <w:r w:rsidR="005844D1" w:rsidRPr="005844D1">
        <w:rPr>
          <w:rFonts w:cstheme="minorHAnsi"/>
          <w:color w:val="282828"/>
          <w:lang w:val="en"/>
        </w:rPr>
        <w:t xml:space="preserve">[which] </w:t>
      </w:r>
      <w:r w:rsidR="00A37918" w:rsidRPr="005844D1">
        <w:rPr>
          <w:rFonts w:cstheme="minorHAnsi"/>
          <w:color w:val="282828"/>
          <w:lang w:val="en"/>
        </w:rPr>
        <w:t>gives them the greatest reproductive potential</w:t>
      </w:r>
      <w:r w:rsidR="005844D1" w:rsidRPr="005844D1">
        <w:rPr>
          <w:rFonts w:cstheme="minorHAnsi"/>
          <w:color w:val="282828"/>
          <w:lang w:val="en"/>
        </w:rPr>
        <w:t>”</w:t>
      </w:r>
      <w:r w:rsidR="005844D1" w:rsidRPr="005844D1">
        <w:rPr>
          <w:rFonts w:cstheme="minorHAnsi"/>
          <w:noProof/>
          <w:color w:val="282828"/>
        </w:rPr>
        <w:t xml:space="preserve"> (Department of Arizona Game &amp; Fish, 2015, para. 3)</w:t>
      </w:r>
      <w:r w:rsidR="00A37918" w:rsidRPr="005844D1">
        <w:rPr>
          <w:rFonts w:cstheme="minorHAnsi"/>
          <w:color w:val="282828"/>
          <w:lang w:val="en"/>
        </w:rPr>
        <w:t>.</w:t>
      </w:r>
    </w:p>
    <w:p w:rsidR="00C24124" w:rsidRDefault="00A37918" w:rsidP="00A37918">
      <w:pPr>
        <w:ind w:firstLine="0"/>
        <w:rPr>
          <w:rFonts w:asciiTheme="majorHAnsi" w:hAnsiTheme="majorHAnsi" w:cstheme="majorHAnsi"/>
          <w:i/>
          <w:color w:val="000000"/>
        </w:rPr>
      </w:pPr>
      <w:r w:rsidRPr="005844D1">
        <w:rPr>
          <w:rFonts w:asciiTheme="majorHAnsi" w:hAnsiTheme="majorHAnsi" w:cstheme="majorHAnsi"/>
          <w:i/>
          <w:color w:val="000000"/>
        </w:rPr>
        <w:t>Environmen</w:t>
      </w:r>
      <w:r w:rsidR="00C24124">
        <w:rPr>
          <w:rFonts w:asciiTheme="majorHAnsi" w:hAnsiTheme="majorHAnsi" w:cstheme="majorHAnsi"/>
          <w:i/>
          <w:color w:val="000000"/>
        </w:rPr>
        <w:t>t</w:t>
      </w:r>
    </w:p>
    <w:p w:rsidR="00241DBC" w:rsidRDefault="00C24124" w:rsidP="00FB6DA8">
      <w:pPr>
        <w:ind w:firstLine="0"/>
        <w:rPr>
          <w:rFonts w:cstheme="minorHAnsi"/>
          <w:noProof/>
          <w:color w:val="000000"/>
        </w:rPr>
      </w:pPr>
      <w:r>
        <w:rPr>
          <w:rFonts w:asciiTheme="majorHAnsi" w:hAnsiTheme="majorHAnsi" w:cstheme="majorHAnsi"/>
          <w:color w:val="000000"/>
        </w:rPr>
        <w:tab/>
      </w:r>
      <w:r w:rsidR="00241DBC">
        <w:rPr>
          <w:rFonts w:asciiTheme="majorHAnsi" w:hAnsiTheme="majorHAnsi" w:cstheme="majorHAnsi"/>
          <w:color w:val="000000"/>
        </w:rPr>
        <w:t>Collared Peccary have a “geographical distribution from Arizona to Argentina”</w:t>
      </w:r>
      <w:sdt>
        <w:sdtPr>
          <w:rPr>
            <w:rFonts w:asciiTheme="majorHAnsi" w:hAnsiTheme="majorHAnsi" w:cstheme="majorHAnsi"/>
            <w:color w:val="000000"/>
          </w:rPr>
          <w:id w:val="2145765904"/>
          <w:citation/>
        </w:sdtPr>
        <w:sdtEndPr/>
        <w:sdtContent>
          <w:r w:rsidR="00241DBC">
            <w:rPr>
              <w:rFonts w:asciiTheme="majorHAnsi" w:hAnsiTheme="majorHAnsi" w:cstheme="majorHAnsi"/>
              <w:color w:val="000000"/>
            </w:rPr>
            <w:fldChar w:fldCharType="begin"/>
          </w:r>
          <w:r w:rsidR="00241DBC">
            <w:rPr>
              <w:rFonts w:asciiTheme="majorHAnsi" w:hAnsiTheme="majorHAnsi" w:cstheme="majorHAnsi"/>
              <w:color w:val="000000"/>
            </w:rPr>
            <w:instrText xml:space="preserve">CITATION Sil09 \p 1 \l 1033 </w:instrText>
          </w:r>
          <w:r w:rsidR="00241DBC">
            <w:rPr>
              <w:rFonts w:asciiTheme="majorHAnsi" w:hAnsiTheme="majorHAnsi" w:cstheme="majorHAnsi"/>
              <w:color w:val="000000"/>
            </w:rPr>
            <w:fldChar w:fldCharType="separate"/>
          </w:r>
          <w:r w:rsidR="00241DBC">
            <w:rPr>
              <w:rFonts w:asciiTheme="majorHAnsi" w:hAnsiTheme="majorHAnsi" w:cstheme="majorHAnsi"/>
              <w:noProof/>
              <w:color w:val="000000"/>
            </w:rPr>
            <w:t xml:space="preserve"> </w:t>
          </w:r>
          <w:r w:rsidR="00241DBC" w:rsidRPr="00241DBC">
            <w:rPr>
              <w:rFonts w:asciiTheme="majorHAnsi" w:hAnsiTheme="majorHAnsi" w:cstheme="majorHAnsi"/>
              <w:noProof/>
              <w:color w:val="000000"/>
            </w:rPr>
            <w:t>(Silva, de Freitas, &amp; Sbalqueiro, 2009, p. 1)</w:t>
          </w:r>
          <w:r w:rsidR="00241DBC">
            <w:rPr>
              <w:rFonts w:asciiTheme="majorHAnsi" w:hAnsiTheme="majorHAnsi" w:cstheme="majorHAnsi"/>
              <w:color w:val="000000"/>
            </w:rPr>
            <w:fldChar w:fldCharType="end"/>
          </w:r>
        </w:sdtContent>
      </w:sdt>
      <w:r w:rsidR="00241DBC">
        <w:rPr>
          <w:rFonts w:asciiTheme="majorHAnsi" w:hAnsiTheme="majorHAnsi" w:cstheme="majorHAnsi"/>
          <w:color w:val="000000"/>
        </w:rPr>
        <w:t xml:space="preserve"> and can roam over a territory as large as 1000 to 2000 acres</w:t>
      </w:r>
      <w:r w:rsidR="00241DBC">
        <w:rPr>
          <w:rFonts w:asciiTheme="majorHAnsi" w:hAnsiTheme="majorHAnsi" w:cstheme="majorHAnsi"/>
          <w:noProof/>
          <w:color w:val="000000"/>
        </w:rPr>
        <w:t xml:space="preserve"> </w:t>
      </w:r>
      <w:r w:rsidR="00241DBC" w:rsidRPr="00241DBC">
        <w:rPr>
          <w:rFonts w:cstheme="minorHAnsi"/>
          <w:noProof/>
          <w:color w:val="000000"/>
        </w:rPr>
        <w:t>(New Hamphire Public Television, 2015, para. 2)</w:t>
      </w:r>
      <w:r w:rsidR="00241DBC" w:rsidRPr="00241DBC">
        <w:rPr>
          <w:rFonts w:cstheme="minorHAnsi"/>
          <w:color w:val="000000"/>
        </w:rPr>
        <w:t>.  The Collared Peccary group together in herds consistent of anywhere from 5 to 50 animals and establish their territories by “</w:t>
      </w:r>
      <w:r w:rsidR="00241DBC" w:rsidRPr="00241DBC">
        <w:rPr>
          <w:rFonts w:cstheme="minorHAnsi"/>
          <w:color w:val="282828"/>
          <w:lang w:val="en"/>
        </w:rPr>
        <w:t xml:space="preserve">using droppings and the dorsal </w:t>
      </w:r>
      <w:r w:rsidR="00241DBC">
        <w:rPr>
          <w:rFonts w:cstheme="minorHAnsi"/>
          <w:color w:val="282828"/>
          <w:lang w:val="en"/>
        </w:rPr>
        <w:t>scent gland to mark these areas”</w:t>
      </w:r>
      <w:r w:rsidR="00241DBC">
        <w:rPr>
          <w:rFonts w:cstheme="minorHAnsi"/>
          <w:noProof/>
          <w:color w:val="282828"/>
        </w:rPr>
        <w:t xml:space="preserve"> </w:t>
      </w:r>
      <w:r w:rsidR="00241DBC" w:rsidRPr="00241DBC">
        <w:rPr>
          <w:rFonts w:cstheme="minorHAnsi"/>
          <w:noProof/>
          <w:color w:val="282828"/>
        </w:rPr>
        <w:t>(Department of Arizona Game &amp; Fish, 2015</w:t>
      </w:r>
      <w:r w:rsidR="00241DBC">
        <w:rPr>
          <w:rFonts w:cstheme="minorHAnsi"/>
          <w:noProof/>
          <w:color w:val="282828"/>
        </w:rPr>
        <w:t xml:space="preserve">, </w:t>
      </w:r>
      <w:r w:rsidR="00241DBC">
        <w:rPr>
          <w:rFonts w:cstheme="minorHAnsi"/>
          <w:noProof/>
          <w:color w:val="282828"/>
        </w:rPr>
        <w:lastRenderedPageBreak/>
        <w:t>para. 3)</w:t>
      </w:r>
      <w:r w:rsidR="00FB6DA8">
        <w:rPr>
          <w:rFonts w:cstheme="minorHAnsi"/>
          <w:noProof/>
          <w:color w:val="282828"/>
        </w:rPr>
        <w:t xml:space="preserve">. </w:t>
      </w:r>
      <w:r w:rsidR="00FB6DA8" w:rsidRPr="00FB6DA8">
        <w:rPr>
          <w:rFonts w:cstheme="minorHAnsi"/>
          <w:noProof/>
          <w:color w:val="282828"/>
        </w:rPr>
        <w:t>Because their territory can cover a wide variety of ecosystems</w:t>
      </w:r>
      <w:r w:rsidR="00A91629">
        <w:rPr>
          <w:rFonts w:cstheme="minorHAnsi"/>
          <w:noProof/>
          <w:color w:val="282828"/>
        </w:rPr>
        <w:t xml:space="preserve"> their diet varies and can include</w:t>
      </w:r>
      <w:r w:rsidR="00FB6DA8" w:rsidRPr="00FB6DA8">
        <w:rPr>
          <w:rFonts w:cstheme="minorHAnsi"/>
          <w:noProof/>
          <w:color w:val="282828"/>
        </w:rPr>
        <w:t>, “</w:t>
      </w:r>
      <w:r w:rsidR="00931C71" w:rsidRPr="00FB6DA8">
        <w:rPr>
          <w:rFonts w:cstheme="minorHAnsi"/>
          <w:color w:val="000000"/>
        </w:rPr>
        <w:t>prickly pear cactus, fruit, nuts,</w:t>
      </w:r>
      <w:r w:rsidR="00FB6DA8" w:rsidRPr="00FB6DA8">
        <w:rPr>
          <w:rFonts w:cstheme="minorHAnsi"/>
          <w:color w:val="000000"/>
        </w:rPr>
        <w:t xml:space="preserve"> seeds, succulents and garbage”</w:t>
      </w:r>
      <w:r w:rsidR="00FB6DA8" w:rsidRPr="00FB6DA8">
        <w:rPr>
          <w:rFonts w:cstheme="minorHAnsi"/>
          <w:noProof/>
          <w:color w:val="000000"/>
        </w:rPr>
        <w:t xml:space="preserve"> (Ponderosa Images Co., 2008, para. 4).</w:t>
      </w:r>
    </w:p>
    <w:p w:rsidR="00F57A33" w:rsidRDefault="00F57A33" w:rsidP="00FB6DA8">
      <w:pPr>
        <w:ind w:firstLine="0"/>
        <w:rPr>
          <w:rFonts w:cstheme="minorHAnsi"/>
          <w:noProof/>
          <w:color w:val="000000"/>
        </w:rPr>
      </w:pPr>
      <w:r>
        <w:rPr>
          <w:rFonts w:cstheme="minorHAnsi"/>
          <w:noProof/>
          <w:color w:val="000000"/>
        </w:rPr>
        <w:tab/>
        <w:t>In the wild, Collared Peccary can live up to 10 years</w:t>
      </w:r>
      <w:r w:rsidR="00330211">
        <w:rPr>
          <w:rFonts w:cstheme="minorHAnsi"/>
          <w:noProof/>
          <w:color w:val="000000"/>
        </w:rPr>
        <w:t xml:space="preserve"> and even longer in captivity</w:t>
      </w:r>
      <w:r>
        <w:rPr>
          <w:rFonts w:cstheme="minorHAnsi"/>
          <w:noProof/>
          <w:color w:val="000000"/>
        </w:rPr>
        <w:t xml:space="preserve"> </w:t>
      </w:r>
      <w:r w:rsidRPr="00F57A33">
        <w:rPr>
          <w:rFonts w:cstheme="minorHAnsi"/>
          <w:noProof/>
          <w:color w:val="000000"/>
        </w:rPr>
        <w:t>(Ponderosa Images Co., 2008</w:t>
      </w:r>
      <w:r>
        <w:rPr>
          <w:rFonts w:cstheme="minorHAnsi"/>
          <w:noProof/>
          <w:color w:val="000000"/>
        </w:rPr>
        <w:t>, para. 3</w:t>
      </w:r>
      <w:r w:rsidRPr="00F57A33">
        <w:rPr>
          <w:rFonts w:cstheme="minorHAnsi"/>
          <w:noProof/>
          <w:color w:val="000000"/>
        </w:rPr>
        <w:t>)</w:t>
      </w:r>
      <w:r>
        <w:rPr>
          <w:rFonts w:cstheme="minorHAnsi"/>
          <w:noProof/>
          <w:color w:val="000000"/>
        </w:rPr>
        <w:t xml:space="preserve">.  </w:t>
      </w:r>
      <w:r w:rsidR="00330211">
        <w:rPr>
          <w:rFonts w:cstheme="minorHAnsi"/>
          <w:noProof/>
          <w:color w:val="000000"/>
        </w:rPr>
        <w:t>D</w:t>
      </w:r>
      <w:r>
        <w:rPr>
          <w:rFonts w:cstheme="minorHAnsi"/>
          <w:noProof/>
          <w:color w:val="000000"/>
        </w:rPr>
        <w:t>ue to the demand for leather good</w:t>
      </w:r>
      <w:r w:rsidR="00330211">
        <w:rPr>
          <w:rFonts w:cstheme="minorHAnsi"/>
          <w:noProof/>
          <w:color w:val="000000"/>
        </w:rPr>
        <w:t>s</w:t>
      </w:r>
      <w:r>
        <w:rPr>
          <w:rFonts w:cstheme="minorHAnsi"/>
          <w:noProof/>
          <w:color w:val="000000"/>
        </w:rPr>
        <w:t xml:space="preserve"> and food products in South America many are </w:t>
      </w:r>
      <w:r w:rsidR="003C4EC6">
        <w:rPr>
          <w:rFonts w:cstheme="minorHAnsi"/>
          <w:noProof/>
          <w:color w:val="000000"/>
        </w:rPr>
        <w:t xml:space="preserve">relegated to breeding farms where genetic variability can be limited.  Because of </w:t>
      </w:r>
      <w:r w:rsidR="00330211">
        <w:rPr>
          <w:rFonts w:cstheme="minorHAnsi"/>
          <w:noProof/>
          <w:color w:val="000000"/>
        </w:rPr>
        <w:t xml:space="preserve">these farms the </w:t>
      </w:r>
      <w:r w:rsidR="003C4EC6">
        <w:rPr>
          <w:rFonts w:cstheme="minorHAnsi"/>
          <w:noProof/>
          <w:color w:val="000000"/>
        </w:rPr>
        <w:t>population</w:t>
      </w:r>
      <w:r w:rsidR="00330211">
        <w:rPr>
          <w:rFonts w:cstheme="minorHAnsi"/>
          <w:noProof/>
          <w:color w:val="000000"/>
        </w:rPr>
        <w:t xml:space="preserve"> of Collared Peccary have</w:t>
      </w:r>
      <w:r w:rsidR="003C4EC6">
        <w:rPr>
          <w:rFonts w:cstheme="minorHAnsi"/>
          <w:noProof/>
          <w:color w:val="000000"/>
        </w:rPr>
        <w:t xml:space="preserve"> exhibited </w:t>
      </w:r>
      <w:r w:rsidR="006F2218">
        <w:rPr>
          <w:rFonts w:cstheme="minorHAnsi"/>
          <w:noProof/>
          <w:color w:val="000000"/>
        </w:rPr>
        <w:t>“excess homozygosity”</w:t>
      </w:r>
      <w:r w:rsidR="00330211" w:rsidRPr="00330211">
        <w:rPr>
          <w:rFonts w:cstheme="minorHAnsi"/>
          <w:noProof/>
          <w:color w:val="000000"/>
        </w:rPr>
        <w:t xml:space="preserve"> </w:t>
      </w:r>
      <w:sdt>
        <w:sdtPr>
          <w:rPr>
            <w:rFonts w:cstheme="minorHAnsi"/>
            <w:noProof/>
            <w:color w:val="000000"/>
          </w:rPr>
          <w:id w:val="-440298556"/>
          <w:citation/>
        </w:sdtPr>
        <w:sdtEndPr/>
        <w:sdtContent>
          <w:r w:rsidR="00330211">
            <w:rPr>
              <w:rFonts w:cstheme="minorHAnsi"/>
              <w:noProof/>
              <w:color w:val="000000"/>
            </w:rPr>
            <w:fldChar w:fldCharType="begin"/>
          </w:r>
          <w:r w:rsidR="00330211">
            <w:rPr>
              <w:rFonts w:cstheme="minorHAnsi"/>
              <w:noProof/>
              <w:color w:val="000000"/>
            </w:rPr>
            <w:instrText xml:space="preserve">CITATION Sil09 \p 5 \l 1033 </w:instrText>
          </w:r>
          <w:r w:rsidR="00330211">
            <w:rPr>
              <w:rFonts w:cstheme="minorHAnsi"/>
              <w:noProof/>
              <w:color w:val="000000"/>
            </w:rPr>
            <w:fldChar w:fldCharType="separate"/>
          </w:r>
          <w:r w:rsidR="00330211">
            <w:rPr>
              <w:rFonts w:cstheme="minorHAnsi"/>
              <w:noProof/>
              <w:color w:val="000000"/>
            </w:rPr>
            <w:t xml:space="preserve"> </w:t>
          </w:r>
          <w:r w:rsidR="00330211" w:rsidRPr="00330211">
            <w:rPr>
              <w:rFonts w:cstheme="minorHAnsi"/>
              <w:noProof/>
              <w:color w:val="000000"/>
            </w:rPr>
            <w:t>(Silva, de Freitas, &amp; Sbalqueiro, 2009, p. 5)</w:t>
          </w:r>
          <w:r w:rsidR="00330211">
            <w:rPr>
              <w:rFonts w:cstheme="minorHAnsi"/>
              <w:noProof/>
              <w:color w:val="000000"/>
            </w:rPr>
            <w:fldChar w:fldCharType="end"/>
          </w:r>
        </w:sdtContent>
      </w:sdt>
      <w:r w:rsidR="006F2218">
        <w:rPr>
          <w:rFonts w:cstheme="minorHAnsi"/>
          <w:noProof/>
          <w:color w:val="000000"/>
        </w:rPr>
        <w:t xml:space="preserve">, effectively pushing this group into a genetic drift or causing founders effect.  </w:t>
      </w:r>
      <w:r w:rsidR="003C4EC6">
        <w:rPr>
          <w:rFonts w:cstheme="minorHAnsi"/>
          <w:noProof/>
          <w:color w:val="000000"/>
        </w:rPr>
        <w:t xml:space="preserve"> </w:t>
      </w:r>
    </w:p>
    <w:p w:rsidR="00330211" w:rsidRDefault="00330211" w:rsidP="00FB6DA8">
      <w:pPr>
        <w:ind w:firstLine="0"/>
        <w:rPr>
          <w:rFonts w:cstheme="minorHAnsi"/>
          <w:noProof/>
          <w:color w:val="000000"/>
        </w:rPr>
      </w:pPr>
      <w:r>
        <w:rPr>
          <w:rFonts w:cstheme="minorHAnsi"/>
          <w:noProof/>
          <w:color w:val="000000"/>
        </w:rPr>
        <w:tab/>
      </w:r>
      <w:r w:rsidR="006A046D">
        <w:rPr>
          <w:rFonts w:cstheme="minorHAnsi"/>
          <w:noProof/>
          <w:color w:val="000000"/>
        </w:rPr>
        <w:t>In a study published by the Sociedade Brasileira de Genetica (2009), Silva, de Freitas and Sbalqueiro observed that a “reduction from the original species can vary widely”, which could be caused by one herd</w:t>
      </w:r>
      <w:r w:rsidR="00D26EBF">
        <w:rPr>
          <w:rFonts w:cstheme="minorHAnsi"/>
          <w:noProof/>
          <w:color w:val="000000"/>
        </w:rPr>
        <w:t xml:space="preserve"> not interbreeding with another “thereby promoting endogamy and the founder effect”</w:t>
      </w:r>
      <w:sdt>
        <w:sdtPr>
          <w:rPr>
            <w:rFonts w:cstheme="minorHAnsi"/>
            <w:noProof/>
            <w:color w:val="000000"/>
          </w:rPr>
          <w:id w:val="-221448118"/>
          <w:citation/>
        </w:sdtPr>
        <w:sdtEndPr/>
        <w:sdtContent>
          <w:r w:rsidR="00D26EBF">
            <w:rPr>
              <w:rFonts w:cstheme="minorHAnsi"/>
              <w:noProof/>
              <w:color w:val="000000"/>
            </w:rPr>
            <w:fldChar w:fldCharType="begin"/>
          </w:r>
          <w:r w:rsidR="00D26EBF">
            <w:rPr>
              <w:rFonts w:cstheme="minorHAnsi"/>
              <w:noProof/>
              <w:color w:val="000000"/>
            </w:rPr>
            <w:instrText xml:space="preserve">CITATION Sil09 \p 4 \l 1033 </w:instrText>
          </w:r>
          <w:r w:rsidR="00D26EBF">
            <w:rPr>
              <w:rFonts w:cstheme="minorHAnsi"/>
              <w:noProof/>
              <w:color w:val="000000"/>
            </w:rPr>
            <w:fldChar w:fldCharType="separate"/>
          </w:r>
          <w:r w:rsidR="00D26EBF">
            <w:rPr>
              <w:rFonts w:cstheme="minorHAnsi"/>
              <w:noProof/>
              <w:color w:val="000000"/>
            </w:rPr>
            <w:t xml:space="preserve"> </w:t>
          </w:r>
          <w:r w:rsidR="00D26EBF" w:rsidRPr="00D26EBF">
            <w:rPr>
              <w:rFonts w:cstheme="minorHAnsi"/>
              <w:noProof/>
              <w:color w:val="000000"/>
            </w:rPr>
            <w:t>(Silva, de Freitas, &amp; Sbalqueiro, 2009, p. 4)</w:t>
          </w:r>
          <w:r w:rsidR="00D26EBF">
            <w:rPr>
              <w:rFonts w:cstheme="minorHAnsi"/>
              <w:noProof/>
              <w:color w:val="000000"/>
            </w:rPr>
            <w:fldChar w:fldCharType="end"/>
          </w:r>
        </w:sdtContent>
      </w:sdt>
      <w:r w:rsidR="00D26EBF">
        <w:rPr>
          <w:rFonts w:cstheme="minorHAnsi"/>
          <w:noProof/>
          <w:color w:val="000000"/>
        </w:rPr>
        <w:t>.  Other possible explanations of the limited genetic variability “could be related to the presence of null alleles” or “since the capitive populations were artificial and recently formed” they did not have enough time for “self-structuring”</w:t>
      </w:r>
      <w:sdt>
        <w:sdtPr>
          <w:rPr>
            <w:rFonts w:cstheme="minorHAnsi"/>
            <w:noProof/>
            <w:color w:val="000000"/>
          </w:rPr>
          <w:id w:val="-1077674037"/>
          <w:citation/>
        </w:sdtPr>
        <w:sdtEndPr/>
        <w:sdtContent>
          <w:r w:rsidR="00D26EBF">
            <w:rPr>
              <w:rFonts w:cstheme="minorHAnsi"/>
              <w:noProof/>
              <w:color w:val="000000"/>
            </w:rPr>
            <w:fldChar w:fldCharType="begin"/>
          </w:r>
          <w:r w:rsidR="00D26EBF">
            <w:rPr>
              <w:rFonts w:cstheme="minorHAnsi"/>
              <w:noProof/>
              <w:color w:val="000000"/>
            </w:rPr>
            <w:instrText xml:space="preserve">CITATION Sil09 \p 4 \l 1033 </w:instrText>
          </w:r>
          <w:r w:rsidR="00D26EBF">
            <w:rPr>
              <w:rFonts w:cstheme="minorHAnsi"/>
              <w:noProof/>
              <w:color w:val="000000"/>
            </w:rPr>
            <w:fldChar w:fldCharType="separate"/>
          </w:r>
          <w:r w:rsidR="00D26EBF">
            <w:rPr>
              <w:rFonts w:cstheme="minorHAnsi"/>
              <w:noProof/>
              <w:color w:val="000000"/>
            </w:rPr>
            <w:t xml:space="preserve"> </w:t>
          </w:r>
          <w:r w:rsidR="00D26EBF" w:rsidRPr="00D26EBF">
            <w:rPr>
              <w:rFonts w:cstheme="minorHAnsi"/>
              <w:noProof/>
              <w:color w:val="000000"/>
            </w:rPr>
            <w:t>(Silva, de Freitas, &amp; Sbalqueiro, 2009, p. 4)</w:t>
          </w:r>
          <w:r w:rsidR="00D26EBF">
            <w:rPr>
              <w:rFonts w:cstheme="minorHAnsi"/>
              <w:noProof/>
              <w:color w:val="000000"/>
            </w:rPr>
            <w:fldChar w:fldCharType="end"/>
          </w:r>
        </w:sdtContent>
      </w:sdt>
      <w:r w:rsidR="00D26EBF">
        <w:rPr>
          <w:rFonts w:cstheme="minorHAnsi"/>
          <w:noProof/>
          <w:color w:val="000000"/>
        </w:rPr>
        <w:t>.</w:t>
      </w:r>
    </w:p>
    <w:p w:rsidR="00D51ECC" w:rsidRDefault="00D51ECC" w:rsidP="00D51ECC">
      <w:pPr>
        <w:ind w:firstLine="0"/>
        <w:jc w:val="center"/>
        <w:rPr>
          <w:rFonts w:cstheme="minorHAnsi"/>
          <w:noProof/>
          <w:color w:val="000000"/>
        </w:rPr>
      </w:pPr>
      <w:r>
        <w:rPr>
          <w:rFonts w:cstheme="minorHAnsi"/>
          <w:noProof/>
          <w:color w:val="000000"/>
        </w:rPr>
        <w:t>Conclusion</w:t>
      </w:r>
    </w:p>
    <w:p w:rsidR="00D51ECC" w:rsidRDefault="00D51ECC" w:rsidP="00D51ECC">
      <w:pPr>
        <w:ind w:firstLine="0"/>
        <w:rPr>
          <w:rFonts w:cstheme="minorHAnsi"/>
          <w:noProof/>
          <w:color w:val="000000"/>
        </w:rPr>
      </w:pPr>
      <w:r>
        <w:rPr>
          <w:rFonts w:cstheme="minorHAnsi"/>
          <w:noProof/>
          <w:color w:val="000000"/>
        </w:rPr>
        <w:tab/>
        <w:t xml:space="preserve">It is clear from research that the Collared Peccary has evolved and adapted to their environment and become a viable organism in its varied ecosystems.  This is consistant with their cousins of the porcine family who also show their adaptability in a multitude of environments. It seems that this creature has the ability to continue to evolve whether independently or through human intervention as their ecosystem changes in the future.  However, </w:t>
      </w:r>
      <w:r>
        <w:rPr>
          <w:rFonts w:cstheme="minorHAnsi"/>
          <w:noProof/>
          <w:color w:val="000000"/>
        </w:rPr>
        <w:lastRenderedPageBreak/>
        <w:t xml:space="preserve">I fear that their wild brothers and sisters will not fare as well as the ones in captivity due to loss of habitate as humans intrude on their territories. </w:t>
      </w:r>
    </w:p>
    <w:p w:rsidR="00337BC2" w:rsidRDefault="00337BC2" w:rsidP="00840305">
      <w:pPr>
        <w:ind w:firstLine="0"/>
        <w:rPr>
          <w:rFonts w:ascii="Arial" w:hAnsi="Arial" w:cs="Arial"/>
          <w:color w:val="333333"/>
          <w:sz w:val="22"/>
          <w:szCs w:val="22"/>
          <w:lang w:val="en"/>
        </w:rPr>
      </w:pPr>
    </w:p>
    <w:p w:rsidR="00337BC2" w:rsidRPr="00931C71" w:rsidRDefault="00337BC2" w:rsidP="00840305">
      <w:pPr>
        <w:ind w:firstLine="0"/>
        <w:rPr>
          <w:rFonts w:ascii="Times New Roman" w:eastAsia="Times New Roman" w:hAnsi="Times New Roman" w:cs="Times New Roman"/>
          <w:kern w:val="0"/>
          <w:lang w:eastAsia="en-US"/>
        </w:rPr>
      </w:pPr>
    </w:p>
    <w:sdt>
      <w:sdtPr>
        <w:rPr>
          <w:rFonts w:asciiTheme="minorHAnsi" w:eastAsiaTheme="minorEastAsia" w:hAnsiTheme="minorHAnsi" w:cstheme="minorBidi"/>
          <w:b w:val="0"/>
          <w:bCs w:val="0"/>
        </w:rPr>
        <w:id w:val="1862163084"/>
        <w:docPartObj>
          <w:docPartGallery w:val="Bibliographies"/>
          <w:docPartUnique/>
        </w:docPartObj>
      </w:sdtPr>
      <w:sdtEndPr/>
      <w:sdtContent>
        <w:p w:rsidR="00337BC2" w:rsidRPr="00337BC2" w:rsidRDefault="00337BC2">
          <w:pPr>
            <w:pStyle w:val="Heading1"/>
            <w:rPr>
              <w:b w:val="0"/>
            </w:rPr>
          </w:pPr>
          <w:r w:rsidRPr="00337BC2">
            <w:rPr>
              <w:b w:val="0"/>
            </w:rPr>
            <w:t>References</w:t>
          </w:r>
        </w:p>
        <w:sdt>
          <w:sdtPr>
            <w:id w:val="-573587230"/>
            <w:bibliography/>
          </w:sdtPr>
          <w:sdtEndPr/>
          <w:sdtContent>
            <w:p w:rsidR="00241DBC" w:rsidRDefault="00337BC2" w:rsidP="00241DBC">
              <w:pPr>
                <w:pStyle w:val="Bibliography"/>
                <w:rPr>
                  <w:noProof/>
                </w:rPr>
              </w:pPr>
              <w:r>
                <w:fldChar w:fldCharType="begin"/>
              </w:r>
              <w:r>
                <w:instrText xml:space="preserve"> BIBLIOGRAPHY </w:instrText>
              </w:r>
              <w:r>
                <w:fldChar w:fldCharType="separate"/>
              </w:r>
              <w:r w:rsidR="00241DBC">
                <w:rPr>
                  <w:noProof/>
                </w:rPr>
                <w:t xml:space="preserve">Department of Arizona Game &amp; Fish. (2015). </w:t>
              </w:r>
              <w:r w:rsidR="00241DBC">
                <w:rPr>
                  <w:i/>
                  <w:iCs/>
                  <w:noProof/>
                </w:rPr>
                <w:t>Javelina</w:t>
              </w:r>
              <w:r w:rsidR="00241DBC">
                <w:rPr>
                  <w:noProof/>
                </w:rPr>
                <w:t>. Retrieved from Department of Arizona Game &amp; Fish: http://azgfdportal.az.gov/hunting/species/biggame/javelina</w:t>
              </w:r>
            </w:p>
            <w:p w:rsidR="00241DBC" w:rsidRDefault="00241DBC" w:rsidP="00241DBC">
              <w:pPr>
                <w:pStyle w:val="Bibliography"/>
                <w:rPr>
                  <w:noProof/>
                </w:rPr>
              </w:pPr>
              <w:r>
                <w:rPr>
                  <w:noProof/>
                </w:rPr>
                <w:t xml:space="preserve">Groenen, M. A., &amp; Archibald, A. L. (2012, November 14). </w:t>
              </w:r>
              <w:r>
                <w:rPr>
                  <w:i/>
                  <w:iCs/>
                  <w:noProof/>
                </w:rPr>
                <w:t>Analysis of pig genomes provide insight into procine demography and evolution.</w:t>
              </w:r>
              <w:r>
                <w:rPr>
                  <w:noProof/>
                </w:rPr>
                <w:t xml:space="preserve"> Retrieved from Nature: http://www.nature.com/nature/journal/v491/n7424/full/nature11622.html#author-information</w:t>
              </w:r>
            </w:p>
            <w:p w:rsidR="00241DBC" w:rsidRDefault="00241DBC" w:rsidP="00241DBC">
              <w:pPr>
                <w:pStyle w:val="Bibliography"/>
                <w:rPr>
                  <w:noProof/>
                </w:rPr>
              </w:pPr>
              <w:r>
                <w:rPr>
                  <w:noProof/>
                </w:rPr>
                <w:t xml:space="preserve">Groenen, M. (u.k.). </w:t>
              </w:r>
              <w:r>
                <w:rPr>
                  <w:i/>
                  <w:iCs/>
                  <w:noProof/>
                </w:rPr>
                <w:t>SelSweep: Molecular characterization of genetic factors in the pig under selection during speciation, domestication ad breeding.</w:t>
              </w:r>
              <w:r>
                <w:rPr>
                  <w:noProof/>
                </w:rPr>
                <w:t xml:space="preserve"> Retrieved from Wageningen University: www.quantomics.eu/.../1.4_overview_selsweep.pdf</w:t>
              </w:r>
            </w:p>
            <w:p w:rsidR="00241DBC" w:rsidRDefault="00241DBC" w:rsidP="00241DBC">
              <w:pPr>
                <w:pStyle w:val="Bibliography"/>
                <w:rPr>
                  <w:noProof/>
                </w:rPr>
              </w:pPr>
              <w:r>
                <w:rPr>
                  <w:noProof/>
                </w:rPr>
                <w:t xml:space="preserve">New Hamphire Public Television. (2015). </w:t>
              </w:r>
              <w:r>
                <w:rPr>
                  <w:i/>
                  <w:iCs/>
                  <w:noProof/>
                </w:rPr>
                <w:t>collared Peccary - Pecari tajacy</w:t>
              </w:r>
              <w:r>
                <w:rPr>
                  <w:noProof/>
                </w:rPr>
                <w:t>. Retrieved from Nature Works: http://www.nhptv.org/natureworks/peccary.htm</w:t>
              </w:r>
            </w:p>
            <w:p w:rsidR="00241DBC" w:rsidRDefault="00241DBC" w:rsidP="00241DBC">
              <w:pPr>
                <w:pStyle w:val="Bibliography"/>
                <w:rPr>
                  <w:noProof/>
                </w:rPr>
              </w:pPr>
              <w:r>
                <w:rPr>
                  <w:noProof/>
                </w:rPr>
                <w:t xml:space="preserve">Ponderosa Images Co. (2008). </w:t>
              </w:r>
              <w:r>
                <w:rPr>
                  <w:i/>
                  <w:iCs/>
                  <w:noProof/>
                </w:rPr>
                <w:t>Javelina Family Life: An Educational Wildlife Documentary</w:t>
              </w:r>
              <w:r>
                <w:rPr>
                  <w:noProof/>
                </w:rPr>
                <w:t>. Retrieved from Javelina Family Life.com: http://www.javelinafamilylife.com/about-javelinas.shtml</w:t>
              </w:r>
            </w:p>
            <w:p w:rsidR="00241DBC" w:rsidRDefault="00241DBC" w:rsidP="00241DBC">
              <w:pPr>
                <w:pStyle w:val="Bibliography"/>
                <w:rPr>
                  <w:noProof/>
                </w:rPr>
              </w:pPr>
              <w:r w:rsidRPr="00241DBC">
                <w:rPr>
                  <w:noProof/>
                  <w:lang w:val="es-ES"/>
                </w:rPr>
                <w:t xml:space="preserve">Silva, R. W., de Freitas, T. R., &amp; Sbalqueiro, I. J. (2009, July 1). </w:t>
              </w:r>
              <w:r>
                <w:rPr>
                  <w:i/>
                  <w:iCs/>
                  <w:noProof/>
                </w:rPr>
                <w:t>Evaluatio of genetic variability in the collared peccary Pecari tajacu and the white-lipped peccary Tayassu pecari by microsatellite markers.</w:t>
              </w:r>
              <w:r>
                <w:rPr>
                  <w:noProof/>
                </w:rPr>
                <w:t xml:space="preserve"> Retrieved from Genetics and Molecular Biology Online Ahead of Print: www.sbg.org.br</w:t>
              </w:r>
            </w:p>
            <w:p w:rsidR="00241DBC" w:rsidRDefault="00241DBC" w:rsidP="00241DBC">
              <w:pPr>
                <w:pStyle w:val="Bibliography"/>
                <w:rPr>
                  <w:noProof/>
                </w:rPr>
              </w:pPr>
              <w:r>
                <w:rPr>
                  <w:noProof/>
                </w:rPr>
                <w:lastRenderedPageBreak/>
                <w:t xml:space="preserve">Simon, E. J., Dickey, J. L., &amp; Reece, J. B. (2013). </w:t>
              </w:r>
              <w:r>
                <w:rPr>
                  <w:i/>
                  <w:iCs/>
                  <w:noProof/>
                </w:rPr>
                <w:t>Campbell Essential Biology with Physiology, 4th edition.</w:t>
              </w:r>
              <w:r>
                <w:rPr>
                  <w:noProof/>
                </w:rPr>
                <w:t xml:space="preserve"> Benjamin Cummings.</w:t>
              </w:r>
            </w:p>
            <w:p w:rsidR="00241DBC" w:rsidRDefault="00241DBC" w:rsidP="00241DBC">
              <w:pPr>
                <w:pStyle w:val="Bibliography"/>
                <w:rPr>
                  <w:noProof/>
                </w:rPr>
              </w:pPr>
              <w:r>
                <w:rPr>
                  <w:noProof/>
                </w:rPr>
                <w:t xml:space="preserve">The Pig Site News Desk. (2010, March 1). </w:t>
              </w:r>
              <w:r>
                <w:rPr>
                  <w:i/>
                  <w:iCs/>
                  <w:noProof/>
                </w:rPr>
                <w:t>New Study on Evolution of Pigs.</w:t>
              </w:r>
              <w:r>
                <w:rPr>
                  <w:noProof/>
                </w:rPr>
                <w:t xml:space="preserve"> Retrieved from The Pig Site: http://www.thepigsite.com/swinenews/23243/new-study-on-evolution-of-pigs/</w:t>
              </w:r>
            </w:p>
            <w:p w:rsidR="00337BC2" w:rsidRDefault="00337BC2" w:rsidP="00241DBC">
              <w:r>
                <w:rPr>
                  <w:b/>
                  <w:bCs/>
                  <w:noProof/>
                </w:rPr>
                <w:fldChar w:fldCharType="end"/>
              </w:r>
            </w:p>
          </w:sdtContent>
        </w:sdt>
      </w:sdtContent>
    </w:sdt>
    <w:p w:rsidR="000D4C48" w:rsidRDefault="000D4C48"/>
    <w:p w:rsidR="000D4C48" w:rsidRDefault="00CE06EF">
      <w:pPr>
        <w:pStyle w:val="SectionTitle"/>
      </w:pPr>
      <w:r>
        <w:lastRenderedPageBreak/>
        <w:t>Footnotes</w:t>
      </w:r>
    </w:p>
    <w:p w:rsidR="000D4C48" w:rsidRDefault="00CE06EF">
      <w:r>
        <w:rPr>
          <w:rStyle w:val="FootnoteReference"/>
        </w:rPr>
        <w:t>1</w:t>
      </w:r>
      <w:sdt>
        <w:sdtPr>
          <w:id w:val="1069077422"/>
          <w:temporary/>
          <w:showingPlcHdr/>
          <w:text/>
        </w:sdtPr>
        <w:sdtEndPr>
          <w:rPr>
            <w:rStyle w:val="FootnoteReference"/>
            <w:vertAlign w:val="superscript"/>
          </w:rPr>
        </w:sdtEndPr>
        <w:sdtContent>
          <w:r>
            <w:t xml:space="preserve">[Add footnotes, if any, on their own page following references. For APA formatting requirements, it’s easy to just type your own footnote references and notes. To format a footnote reference, select the number and then, on the Home tab, in the Styles gallery, click Footnote Reference. The body of a footnote, such as this example, uses the Normal text style. </w:t>
          </w:r>
          <w:r>
            <w:rPr>
              <w:rStyle w:val="Emphasis"/>
            </w:rPr>
            <w:t>(Note: If you delete this sample footnote, don’t forget to delete its in-text reference as well. That’s at the end of the sample Heading 2 paragraph on the first page of body content in this template.)</w:t>
          </w:r>
          <w:r>
            <w:t>]</w:t>
          </w:r>
        </w:sdtContent>
      </w:sdt>
    </w:p>
    <w:p w:rsidR="000D4C48" w:rsidRDefault="00CE06EF">
      <w:pPr>
        <w:pStyle w:val="SectionTitle"/>
      </w:pPr>
      <w:r>
        <w:lastRenderedPageBreak/>
        <w:t>Tables</w:t>
      </w:r>
    </w:p>
    <w:p w:rsidR="000D4C48" w:rsidRDefault="00CE06EF">
      <w:pPr>
        <w:pStyle w:val="NoSpacing"/>
      </w:pPr>
      <w:r>
        <w:t>Table 1</w:t>
      </w:r>
    </w:p>
    <w:sdt>
      <w:sdtPr>
        <w:rPr>
          <w:rStyle w:val="Emphasis"/>
        </w:rPr>
        <w:id w:val="1042324137"/>
        <w:temporary/>
        <w:showingPlcHdr/>
        <w:text/>
      </w:sdtPr>
      <w:sdtEndPr>
        <w:rPr>
          <w:rStyle w:val="DefaultParagraphFont"/>
          <w:i w:val="0"/>
          <w:iCs w:val="0"/>
        </w:rPr>
      </w:sdtEndPr>
      <w:sdtContent>
        <w:p w:rsidR="000D4C48" w:rsidRDefault="00CE06EF">
          <w:pPr>
            <w:pStyle w:val="NoSpacing"/>
          </w:pPr>
          <w:r>
            <w:rPr>
              <w:rStyle w:val="Emphasis"/>
            </w:rPr>
            <w:t>[Table Title]</w:t>
          </w:r>
        </w:p>
      </w:sdtContent>
    </w:sdt>
    <w:tbl>
      <w:tblPr>
        <w:tblStyle w:val="APAReport"/>
        <w:tblW w:w="5000" w:type="pct"/>
        <w:tblLook w:val="04A0" w:firstRow="1" w:lastRow="0" w:firstColumn="1" w:lastColumn="0" w:noHBand="0" w:noVBand="1"/>
      </w:tblPr>
      <w:tblGrid>
        <w:gridCol w:w="1918"/>
        <w:gridCol w:w="1915"/>
        <w:gridCol w:w="1915"/>
        <w:gridCol w:w="1915"/>
        <w:gridCol w:w="1913"/>
      </w:tblGrid>
      <w:tr w:rsidR="000D4C48" w:rsidTr="000D4C48">
        <w:trPr>
          <w:cnfStyle w:val="100000000000" w:firstRow="1" w:lastRow="0" w:firstColumn="0" w:lastColumn="0" w:oddVBand="0" w:evenVBand="0" w:oddHBand="0" w:evenHBand="0" w:firstRowFirstColumn="0" w:firstRowLastColumn="0" w:lastRowFirstColumn="0" w:lastRowLastColumn="0"/>
        </w:trPr>
        <w:tc>
          <w:tcPr>
            <w:tcW w:w="1001" w:type="pct"/>
          </w:tcPr>
          <w:p w:rsidR="000D4C48" w:rsidRDefault="00CE06EF">
            <w:pPr>
              <w:pStyle w:val="NoSpacing"/>
            </w:pPr>
            <w:r>
              <w:t>Column Head</w:t>
            </w:r>
          </w:p>
        </w:tc>
        <w:tc>
          <w:tcPr>
            <w:tcW w:w="1000" w:type="pct"/>
          </w:tcPr>
          <w:p w:rsidR="000D4C48" w:rsidRDefault="00CE06EF">
            <w:pPr>
              <w:pStyle w:val="NoSpacing"/>
            </w:pPr>
            <w:r>
              <w:t>Column Head</w:t>
            </w:r>
          </w:p>
        </w:tc>
        <w:tc>
          <w:tcPr>
            <w:tcW w:w="1000" w:type="pct"/>
          </w:tcPr>
          <w:p w:rsidR="000D4C48" w:rsidRDefault="00CE06EF">
            <w:pPr>
              <w:pStyle w:val="NoSpacing"/>
            </w:pPr>
            <w:r>
              <w:t>Column Head</w:t>
            </w:r>
          </w:p>
        </w:tc>
        <w:tc>
          <w:tcPr>
            <w:tcW w:w="1000" w:type="pct"/>
          </w:tcPr>
          <w:p w:rsidR="000D4C48" w:rsidRDefault="00CE06EF">
            <w:pPr>
              <w:pStyle w:val="NoSpacing"/>
            </w:pPr>
            <w:r>
              <w:t>Column Head</w:t>
            </w:r>
          </w:p>
        </w:tc>
        <w:tc>
          <w:tcPr>
            <w:tcW w:w="999" w:type="pct"/>
          </w:tcPr>
          <w:p w:rsidR="000D4C48" w:rsidRDefault="00CE06EF">
            <w:pPr>
              <w:pStyle w:val="NoSpacing"/>
            </w:pPr>
            <w:r>
              <w:t>Column Head</w:t>
            </w:r>
          </w:p>
        </w:tc>
      </w:tr>
      <w:tr w:rsidR="000D4C48" w:rsidTr="000D4C48">
        <w:tc>
          <w:tcPr>
            <w:tcW w:w="1001" w:type="pct"/>
          </w:tcPr>
          <w:p w:rsidR="000D4C48" w:rsidRDefault="00CE06EF">
            <w:pPr>
              <w:pStyle w:val="NoSpacing"/>
            </w:pPr>
            <w:r>
              <w:t>Row Head</w:t>
            </w:r>
          </w:p>
        </w:tc>
        <w:tc>
          <w:tcPr>
            <w:tcW w:w="1000" w:type="pct"/>
          </w:tcPr>
          <w:p w:rsidR="000D4C48" w:rsidRDefault="00CE06EF">
            <w:pPr>
              <w:pStyle w:val="NoSpacing"/>
            </w:pPr>
            <w:r>
              <w:t>123</w:t>
            </w:r>
          </w:p>
        </w:tc>
        <w:tc>
          <w:tcPr>
            <w:tcW w:w="1000" w:type="pct"/>
          </w:tcPr>
          <w:p w:rsidR="000D4C48" w:rsidRDefault="00CE06EF">
            <w:pPr>
              <w:pStyle w:val="NoSpacing"/>
            </w:pPr>
            <w:r>
              <w:t>123</w:t>
            </w:r>
          </w:p>
        </w:tc>
        <w:tc>
          <w:tcPr>
            <w:tcW w:w="1000" w:type="pct"/>
          </w:tcPr>
          <w:p w:rsidR="000D4C48" w:rsidRDefault="00CE06EF">
            <w:pPr>
              <w:pStyle w:val="NoSpacing"/>
            </w:pPr>
            <w:r>
              <w:t>123</w:t>
            </w:r>
          </w:p>
        </w:tc>
        <w:tc>
          <w:tcPr>
            <w:tcW w:w="999" w:type="pct"/>
          </w:tcPr>
          <w:p w:rsidR="000D4C48" w:rsidRDefault="00CE06EF">
            <w:pPr>
              <w:pStyle w:val="NoSpacing"/>
            </w:pPr>
            <w:r>
              <w:t>123</w:t>
            </w:r>
          </w:p>
        </w:tc>
      </w:tr>
      <w:tr w:rsidR="000D4C48" w:rsidTr="000D4C48">
        <w:tc>
          <w:tcPr>
            <w:tcW w:w="1001" w:type="pct"/>
          </w:tcPr>
          <w:p w:rsidR="000D4C48" w:rsidRDefault="00CE06EF">
            <w:pPr>
              <w:pStyle w:val="NoSpacing"/>
            </w:pPr>
            <w:r>
              <w:t>Row Head</w:t>
            </w:r>
          </w:p>
        </w:tc>
        <w:tc>
          <w:tcPr>
            <w:tcW w:w="1000" w:type="pct"/>
          </w:tcPr>
          <w:p w:rsidR="000D4C48" w:rsidRDefault="00CE06EF">
            <w:pPr>
              <w:pStyle w:val="NoSpacing"/>
            </w:pPr>
            <w:r>
              <w:t>456</w:t>
            </w:r>
          </w:p>
        </w:tc>
        <w:tc>
          <w:tcPr>
            <w:tcW w:w="1000" w:type="pct"/>
          </w:tcPr>
          <w:p w:rsidR="000D4C48" w:rsidRDefault="00CE06EF">
            <w:pPr>
              <w:pStyle w:val="NoSpacing"/>
            </w:pPr>
            <w:r>
              <w:t>456</w:t>
            </w:r>
          </w:p>
        </w:tc>
        <w:tc>
          <w:tcPr>
            <w:tcW w:w="1000" w:type="pct"/>
          </w:tcPr>
          <w:p w:rsidR="000D4C48" w:rsidRDefault="00CE06EF">
            <w:pPr>
              <w:pStyle w:val="NoSpacing"/>
            </w:pPr>
            <w:r>
              <w:t>456</w:t>
            </w:r>
          </w:p>
        </w:tc>
        <w:tc>
          <w:tcPr>
            <w:tcW w:w="999" w:type="pct"/>
          </w:tcPr>
          <w:p w:rsidR="000D4C48" w:rsidRDefault="00CE06EF">
            <w:pPr>
              <w:pStyle w:val="NoSpacing"/>
            </w:pPr>
            <w:r>
              <w:t>456</w:t>
            </w:r>
          </w:p>
        </w:tc>
      </w:tr>
      <w:tr w:rsidR="000D4C48" w:rsidTr="000D4C48">
        <w:tc>
          <w:tcPr>
            <w:tcW w:w="1001" w:type="pct"/>
          </w:tcPr>
          <w:p w:rsidR="000D4C48" w:rsidRDefault="00CE06EF">
            <w:pPr>
              <w:pStyle w:val="NoSpacing"/>
            </w:pPr>
            <w:r>
              <w:t>Row Head</w:t>
            </w:r>
          </w:p>
        </w:tc>
        <w:tc>
          <w:tcPr>
            <w:tcW w:w="1000" w:type="pct"/>
          </w:tcPr>
          <w:p w:rsidR="000D4C48" w:rsidRDefault="00CE06EF">
            <w:pPr>
              <w:pStyle w:val="NoSpacing"/>
            </w:pPr>
            <w:r>
              <w:t>789</w:t>
            </w:r>
          </w:p>
        </w:tc>
        <w:tc>
          <w:tcPr>
            <w:tcW w:w="1000" w:type="pct"/>
          </w:tcPr>
          <w:p w:rsidR="000D4C48" w:rsidRDefault="00CE06EF">
            <w:pPr>
              <w:pStyle w:val="NoSpacing"/>
            </w:pPr>
            <w:r>
              <w:t>789</w:t>
            </w:r>
          </w:p>
        </w:tc>
        <w:tc>
          <w:tcPr>
            <w:tcW w:w="1000" w:type="pct"/>
          </w:tcPr>
          <w:p w:rsidR="000D4C48" w:rsidRDefault="00CE06EF">
            <w:pPr>
              <w:pStyle w:val="NoSpacing"/>
            </w:pPr>
            <w:r>
              <w:t>789</w:t>
            </w:r>
          </w:p>
        </w:tc>
        <w:tc>
          <w:tcPr>
            <w:tcW w:w="999" w:type="pct"/>
          </w:tcPr>
          <w:p w:rsidR="000D4C48" w:rsidRDefault="00CE06EF">
            <w:pPr>
              <w:pStyle w:val="NoSpacing"/>
            </w:pPr>
            <w:r>
              <w:t>789</w:t>
            </w:r>
          </w:p>
        </w:tc>
      </w:tr>
      <w:tr w:rsidR="000D4C48" w:rsidTr="000D4C48">
        <w:tc>
          <w:tcPr>
            <w:tcW w:w="1001" w:type="pct"/>
          </w:tcPr>
          <w:p w:rsidR="000D4C48" w:rsidRDefault="00CE06EF">
            <w:pPr>
              <w:pStyle w:val="NoSpacing"/>
            </w:pPr>
            <w:r>
              <w:t>Row Head</w:t>
            </w:r>
          </w:p>
        </w:tc>
        <w:tc>
          <w:tcPr>
            <w:tcW w:w="1000" w:type="pct"/>
          </w:tcPr>
          <w:p w:rsidR="000D4C48" w:rsidRDefault="00CE06EF">
            <w:pPr>
              <w:pStyle w:val="NoSpacing"/>
            </w:pPr>
            <w:r>
              <w:t>123</w:t>
            </w:r>
          </w:p>
        </w:tc>
        <w:tc>
          <w:tcPr>
            <w:tcW w:w="1000" w:type="pct"/>
          </w:tcPr>
          <w:p w:rsidR="000D4C48" w:rsidRDefault="00CE06EF">
            <w:pPr>
              <w:pStyle w:val="NoSpacing"/>
            </w:pPr>
            <w:r>
              <w:t>123</w:t>
            </w:r>
          </w:p>
        </w:tc>
        <w:tc>
          <w:tcPr>
            <w:tcW w:w="1000" w:type="pct"/>
          </w:tcPr>
          <w:p w:rsidR="000D4C48" w:rsidRDefault="00CE06EF">
            <w:pPr>
              <w:pStyle w:val="NoSpacing"/>
            </w:pPr>
            <w:r>
              <w:t>123</w:t>
            </w:r>
          </w:p>
        </w:tc>
        <w:tc>
          <w:tcPr>
            <w:tcW w:w="999" w:type="pct"/>
          </w:tcPr>
          <w:p w:rsidR="000D4C48" w:rsidRDefault="00CE06EF">
            <w:pPr>
              <w:pStyle w:val="NoSpacing"/>
            </w:pPr>
            <w:r>
              <w:t>123</w:t>
            </w:r>
          </w:p>
        </w:tc>
      </w:tr>
      <w:tr w:rsidR="000D4C48" w:rsidTr="000D4C48">
        <w:tc>
          <w:tcPr>
            <w:tcW w:w="1001" w:type="pct"/>
          </w:tcPr>
          <w:p w:rsidR="000D4C48" w:rsidRDefault="00CE06EF">
            <w:pPr>
              <w:pStyle w:val="NoSpacing"/>
            </w:pPr>
            <w:r>
              <w:t>Row Head</w:t>
            </w:r>
          </w:p>
        </w:tc>
        <w:tc>
          <w:tcPr>
            <w:tcW w:w="1000" w:type="pct"/>
          </w:tcPr>
          <w:p w:rsidR="000D4C48" w:rsidRDefault="00CE06EF">
            <w:pPr>
              <w:pStyle w:val="NoSpacing"/>
            </w:pPr>
            <w:r>
              <w:t>456</w:t>
            </w:r>
          </w:p>
        </w:tc>
        <w:tc>
          <w:tcPr>
            <w:tcW w:w="1000" w:type="pct"/>
          </w:tcPr>
          <w:p w:rsidR="000D4C48" w:rsidRDefault="00CE06EF">
            <w:pPr>
              <w:pStyle w:val="NoSpacing"/>
            </w:pPr>
            <w:r>
              <w:t>456</w:t>
            </w:r>
          </w:p>
        </w:tc>
        <w:tc>
          <w:tcPr>
            <w:tcW w:w="1000" w:type="pct"/>
          </w:tcPr>
          <w:p w:rsidR="000D4C48" w:rsidRDefault="00CE06EF">
            <w:pPr>
              <w:pStyle w:val="NoSpacing"/>
            </w:pPr>
            <w:r>
              <w:t>456</w:t>
            </w:r>
          </w:p>
        </w:tc>
        <w:tc>
          <w:tcPr>
            <w:tcW w:w="999" w:type="pct"/>
          </w:tcPr>
          <w:p w:rsidR="000D4C48" w:rsidRDefault="00CE06EF">
            <w:pPr>
              <w:pStyle w:val="NoSpacing"/>
            </w:pPr>
            <w:r>
              <w:t>456</w:t>
            </w:r>
          </w:p>
        </w:tc>
      </w:tr>
      <w:tr w:rsidR="000D4C48" w:rsidTr="000D4C48">
        <w:tc>
          <w:tcPr>
            <w:tcW w:w="1001" w:type="pct"/>
          </w:tcPr>
          <w:p w:rsidR="000D4C48" w:rsidRDefault="00CE06EF">
            <w:pPr>
              <w:pStyle w:val="NoSpacing"/>
            </w:pPr>
            <w:r>
              <w:t>Row Head</w:t>
            </w:r>
          </w:p>
        </w:tc>
        <w:tc>
          <w:tcPr>
            <w:tcW w:w="1000" w:type="pct"/>
          </w:tcPr>
          <w:p w:rsidR="000D4C48" w:rsidRDefault="00CE06EF">
            <w:pPr>
              <w:pStyle w:val="NoSpacing"/>
            </w:pPr>
            <w:r>
              <w:t>789</w:t>
            </w:r>
          </w:p>
        </w:tc>
        <w:tc>
          <w:tcPr>
            <w:tcW w:w="1000" w:type="pct"/>
          </w:tcPr>
          <w:p w:rsidR="000D4C48" w:rsidRDefault="00CE06EF">
            <w:pPr>
              <w:pStyle w:val="NoSpacing"/>
            </w:pPr>
            <w:r>
              <w:t>789</w:t>
            </w:r>
          </w:p>
        </w:tc>
        <w:tc>
          <w:tcPr>
            <w:tcW w:w="1000" w:type="pct"/>
          </w:tcPr>
          <w:p w:rsidR="000D4C48" w:rsidRDefault="00CE06EF">
            <w:pPr>
              <w:pStyle w:val="NoSpacing"/>
            </w:pPr>
            <w:r>
              <w:t>789</w:t>
            </w:r>
          </w:p>
        </w:tc>
        <w:tc>
          <w:tcPr>
            <w:tcW w:w="999" w:type="pct"/>
          </w:tcPr>
          <w:p w:rsidR="000D4C48" w:rsidRDefault="00CE06EF">
            <w:pPr>
              <w:pStyle w:val="NoSpacing"/>
            </w:pPr>
            <w:r>
              <w:t>789</w:t>
            </w:r>
          </w:p>
        </w:tc>
      </w:tr>
    </w:tbl>
    <w:p w:rsidR="000D4C48" w:rsidRDefault="00CE06EF">
      <w:pPr>
        <w:pStyle w:val="TableFigure"/>
      </w:pPr>
      <w:r>
        <w:rPr>
          <w:rStyle w:val="Emphasis"/>
        </w:rPr>
        <w:t>Note</w:t>
      </w:r>
      <w:r>
        <w:t xml:space="preserve">: </w:t>
      </w:r>
      <w:sdt>
        <w:sdtPr>
          <w:id w:val="668988805"/>
          <w:temporary/>
          <w:showingPlcHdr/>
        </w:sdtPr>
        <w:sdtEndPr/>
        <w:sdtContent>
          <w:r>
            <w:t>[Place all tables for your paper in a tables section, following references (and, if applicable, footnotes). Start a new page for each table, include a table number and table title for each, as shown on this page. All explanatory text appears in a table note that follows the table, such as this one. Use the Table/Figure style, available on the Home tab, in the Styles gallery, to get the spacing between table and note. Tables in APA format can use single or 1.5 line spacing. Include a heading for every row and column, even if the content seems obvious. A default table style has been setup for this template that fits APA guidelines. To insert a table, on the Insert tab, click Table.]</w:t>
          </w:r>
        </w:sdtContent>
      </w:sdt>
    </w:p>
    <w:p w:rsidR="000D4C48" w:rsidRDefault="00CE06EF">
      <w:pPr>
        <w:pStyle w:val="SectionTitle"/>
      </w:pPr>
      <w:r>
        <w:lastRenderedPageBreak/>
        <w:t>Figures</w:t>
      </w:r>
    </w:p>
    <w:p w:rsidR="000D4C48" w:rsidRDefault="00CE06EF">
      <w:pPr>
        <w:pStyle w:val="NoSpacing"/>
      </w:pPr>
      <w:r>
        <w:rPr>
          <w:noProof/>
          <w:lang w:eastAsia="en-US"/>
        </w:rPr>
        <w:drawing>
          <wp:inline distT="0" distB="0" distL="0" distR="0">
            <wp:extent cx="5943600" cy="32004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D4C48" w:rsidRDefault="00CE06EF">
      <w:pPr>
        <w:pStyle w:val="TableFigure"/>
      </w:pPr>
      <w:r>
        <w:rPr>
          <w:rStyle w:val="Emphasis"/>
        </w:rPr>
        <w:t>Figure 1</w:t>
      </w:r>
      <w:r>
        <w:t xml:space="preserve">. </w:t>
      </w:r>
      <w:sdt>
        <w:sdtPr>
          <w:id w:val="1420302148"/>
          <w:temporary/>
          <w:showingPlcHdr/>
          <w:text/>
        </w:sdtPr>
        <w:sdtEndPr/>
        <w:sdtContent>
          <w:r>
            <w:t>[Include all figures in their own section, following references (and footnotes and tables, if applicable). Include a numbered caption for each figure. Use the Table/Figure style for easy spacing between figure and caption.]</w:t>
          </w:r>
        </w:sdtContent>
      </w:sdt>
    </w:p>
    <w:p w:rsidR="000D4C48" w:rsidRDefault="00CE06EF">
      <w:pPr>
        <w:pStyle w:val="TableFigure"/>
      </w:pPr>
      <w:r>
        <w:t xml:space="preserve">For more information about all elements of APA formatting, please consult the </w:t>
      </w:r>
      <w:r>
        <w:rPr>
          <w:rStyle w:val="Emphasis"/>
        </w:rPr>
        <w:t>APA Style Manual, 6th Edition</w:t>
      </w:r>
      <w:r>
        <w:t>.</w:t>
      </w:r>
    </w:p>
    <w:sectPr w:rsidR="000D4C48">
      <w:headerReference w:type="default" r:id="rId14"/>
      <w:headerReference w:type="first" r:id="rId15"/>
      <w:footnotePr>
        <w:pos w:val="beneathText"/>
      </w:footnotePr>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31E3" w:rsidRDefault="007F31E3">
      <w:pPr>
        <w:spacing w:line="240" w:lineRule="auto"/>
      </w:pPr>
      <w:r>
        <w:separator/>
      </w:r>
    </w:p>
  </w:endnote>
  <w:endnote w:type="continuationSeparator" w:id="0">
    <w:p w:rsidR="007F31E3" w:rsidRDefault="007F31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宋体">
    <w:charset w:val="50"/>
    <w:family w:val="auto"/>
    <w:pitch w:val="variable"/>
    <w:sig w:usb0="00000001" w:usb1="080E0000" w:usb2="00000010" w:usb3="00000000" w:csb0="00040000" w:csb1="00000000"/>
  </w:font>
  <w:font w:name="Segoe UI">
    <w:charset w:val="00"/>
    <w:family w:val="swiss"/>
    <w:pitch w:val="variable"/>
    <w:sig w:usb0="E10022FF" w:usb1="C000E47F" w:usb2="00000029" w:usb3="00000000" w:csb0="000001DF" w:csb1="00000000"/>
  </w:font>
  <w:font w:name="Consolas">
    <w:panose1 w:val="020B0609020204030204"/>
    <w:charset w:val="00"/>
    <w:family w:val="auto"/>
    <w:pitch w:val="variable"/>
    <w:sig w:usb0="00000003" w:usb1="00000000" w:usb2="00000000" w:usb3="00000000" w:csb0="00000001" w:csb1="00000000"/>
  </w:font>
  <w:font w:name="Open_Sans_Regular">
    <w:altName w:val="Times New Roman"/>
    <w:charset w:val="00"/>
    <w:family w:val="auto"/>
    <w:pitch w:val="default"/>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31E3" w:rsidRDefault="007F31E3">
      <w:pPr>
        <w:spacing w:line="240" w:lineRule="auto"/>
      </w:pPr>
      <w:r>
        <w:separator/>
      </w:r>
    </w:p>
  </w:footnote>
  <w:footnote w:type="continuationSeparator" w:id="0">
    <w:p w:rsidR="007F31E3" w:rsidRDefault="007F31E3">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C48" w:rsidRDefault="007C7A49">
    <w:pPr>
      <w:pStyle w:val="Header"/>
    </w:pPr>
    <w:sdt>
      <w:sdtPr>
        <w:rPr>
          <w:rStyle w:val="Strong"/>
        </w:rPr>
        <w:alias w:val="Running head"/>
        <w:tag w:val=""/>
        <w:id w:val="12739865"/>
        <w:dataBinding w:prefixMappings="xmlns:ns0='http://schemas.microsoft.com/office/2006/coverPageProps' " w:xpath="/ns0:CoverPageProperties[1]/ns0:Abstract[1]" w:storeItemID="{55AF091B-3C7A-41E3-B477-F2FDAA23CFDA}"/>
        <w:text/>
      </w:sdtPr>
      <w:sdtEndPr>
        <w:rPr>
          <w:rStyle w:val="DefaultParagraphFont"/>
          <w:caps w:val="0"/>
        </w:rPr>
      </w:sdtEndPr>
      <w:sdtContent>
        <w:r w:rsidR="00303132">
          <w:rPr>
            <w:rStyle w:val="Strong"/>
          </w:rPr>
          <w:t xml:space="preserve">THE </w:t>
        </w:r>
        <w:r w:rsidR="00A77962">
          <w:rPr>
            <w:rStyle w:val="Strong"/>
          </w:rPr>
          <w:t>collared p</w:t>
        </w:r>
        <w:r w:rsidR="006B295C">
          <w:rPr>
            <w:rStyle w:val="Strong"/>
          </w:rPr>
          <w:t>e</w:t>
        </w:r>
        <w:r w:rsidR="00A77962">
          <w:rPr>
            <w:rStyle w:val="Strong"/>
          </w:rPr>
          <w:t>ccary</w:t>
        </w:r>
      </w:sdtContent>
    </w:sdt>
    <w:r w:rsidR="00CE06EF">
      <w:rPr>
        <w:rStyle w:val="Strong"/>
      </w:rPr>
      <w:ptab w:relativeTo="margin" w:alignment="right" w:leader="none"/>
    </w:r>
    <w:r w:rsidR="00CE06EF">
      <w:rPr>
        <w:rStyle w:val="Strong"/>
      </w:rPr>
      <w:fldChar w:fldCharType="begin"/>
    </w:r>
    <w:r w:rsidR="00CE06EF">
      <w:rPr>
        <w:rStyle w:val="Strong"/>
      </w:rPr>
      <w:instrText xml:space="preserve"> PAGE   \* MERGEFORMAT </w:instrText>
    </w:r>
    <w:r w:rsidR="00CE06EF">
      <w:rPr>
        <w:rStyle w:val="Strong"/>
      </w:rPr>
      <w:fldChar w:fldCharType="separate"/>
    </w:r>
    <w:r>
      <w:rPr>
        <w:rStyle w:val="Strong"/>
        <w:noProof/>
      </w:rPr>
      <w:t>8</w:t>
    </w:r>
    <w:r w:rsidR="00CE06EF">
      <w:rPr>
        <w:rStyle w:val="Strong"/>
        <w:noProof/>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C48" w:rsidRDefault="00303132">
    <w:pPr>
      <w:pStyle w:val="Header"/>
      <w:rPr>
        <w:rStyle w:val="Strong"/>
      </w:rPr>
    </w:pPr>
    <w:r>
      <w:rPr>
        <w:caps/>
      </w:rPr>
      <w:t xml:space="preserve">THE </w:t>
    </w:r>
    <w:r w:rsidR="006B295C">
      <w:rPr>
        <w:caps/>
      </w:rPr>
      <w:t>collared pe</w:t>
    </w:r>
    <w:r w:rsidR="00A77962">
      <w:rPr>
        <w:caps/>
      </w:rPr>
      <w:t>ccary</w:t>
    </w:r>
    <w:r w:rsidR="00CE06EF">
      <w:rPr>
        <w:rStyle w:val="Strong"/>
      </w:rPr>
      <w:ptab w:relativeTo="margin" w:alignment="right" w:leader="none"/>
    </w:r>
    <w:r w:rsidR="00CE06EF">
      <w:rPr>
        <w:rStyle w:val="Strong"/>
      </w:rPr>
      <w:fldChar w:fldCharType="begin"/>
    </w:r>
    <w:r w:rsidR="00CE06EF">
      <w:rPr>
        <w:rStyle w:val="Strong"/>
      </w:rPr>
      <w:instrText xml:space="preserve"> PAGE   \* MERGEFORMAT </w:instrText>
    </w:r>
    <w:r w:rsidR="00CE06EF">
      <w:rPr>
        <w:rStyle w:val="Strong"/>
      </w:rPr>
      <w:fldChar w:fldCharType="separate"/>
    </w:r>
    <w:r w:rsidR="007C7A49">
      <w:rPr>
        <w:rStyle w:val="Strong"/>
        <w:noProof/>
      </w:rPr>
      <w:t>1</w:t>
    </w:r>
    <w:r w:rsidR="00CE06EF">
      <w:rPr>
        <w:rStyle w:val="Strong"/>
        <w:noProof/>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footnotePr>
    <w:pos w:val="beneathText"/>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124"/>
    <w:rsid w:val="0003586A"/>
    <w:rsid w:val="000737A0"/>
    <w:rsid w:val="000806BE"/>
    <w:rsid w:val="000D4C48"/>
    <w:rsid w:val="000F5C1E"/>
    <w:rsid w:val="00231D5B"/>
    <w:rsid w:val="00241DBC"/>
    <w:rsid w:val="00263EAD"/>
    <w:rsid w:val="002D471F"/>
    <w:rsid w:val="002F6585"/>
    <w:rsid w:val="00303132"/>
    <w:rsid w:val="003116FE"/>
    <w:rsid w:val="00322765"/>
    <w:rsid w:val="00322B49"/>
    <w:rsid w:val="00330211"/>
    <w:rsid w:val="00337BC2"/>
    <w:rsid w:val="003C4EC6"/>
    <w:rsid w:val="005526F8"/>
    <w:rsid w:val="005844D1"/>
    <w:rsid w:val="005C5D11"/>
    <w:rsid w:val="005D4F84"/>
    <w:rsid w:val="005F283B"/>
    <w:rsid w:val="006A046D"/>
    <w:rsid w:val="006B295C"/>
    <w:rsid w:val="006F2218"/>
    <w:rsid w:val="007C7A49"/>
    <w:rsid w:val="007F31E3"/>
    <w:rsid w:val="00840305"/>
    <w:rsid w:val="00840632"/>
    <w:rsid w:val="008E2BCE"/>
    <w:rsid w:val="008E390E"/>
    <w:rsid w:val="00931C71"/>
    <w:rsid w:val="009648C7"/>
    <w:rsid w:val="00A37918"/>
    <w:rsid w:val="00A42635"/>
    <w:rsid w:val="00A77962"/>
    <w:rsid w:val="00A91629"/>
    <w:rsid w:val="00B56D32"/>
    <w:rsid w:val="00B8737F"/>
    <w:rsid w:val="00BA0124"/>
    <w:rsid w:val="00BC1900"/>
    <w:rsid w:val="00C24124"/>
    <w:rsid w:val="00CE06EF"/>
    <w:rsid w:val="00D013ED"/>
    <w:rsid w:val="00D26EBF"/>
    <w:rsid w:val="00D51ECC"/>
    <w:rsid w:val="00DA272B"/>
    <w:rsid w:val="00DC5DF7"/>
    <w:rsid w:val="00E26DF7"/>
    <w:rsid w:val="00F433E6"/>
    <w:rsid w:val="00F57A33"/>
    <w:rsid w:val="00F70002"/>
    <w:rsid w:val="00FB6D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3" w:qFormat="1"/>
    <w:lsdException w:name="heading 3" w:uiPriority="3" w:qFormat="1"/>
    <w:lsdException w:name="heading 4" w:uiPriority="3" w:qFormat="1"/>
    <w:lsdException w:name="heading 5" w:uiPriority="3"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footnote reference" w:qFormat="1"/>
    <w:lsdException w:name="endnote text" w:qFormat="1"/>
    <w:lsdException w:name="List Bullet" w:qFormat="1"/>
    <w:lsdException w:name="List Number" w:qFormat="1"/>
    <w:lsdException w:name="Title" w:semiHidden="0" w:uiPriority="10" w:unhideWhenUsed="0" w:qFormat="1"/>
    <w:lsdException w:name="Default Paragraph Font" w:uiPriority="1"/>
    <w:lsdException w:name="Subtitle" w:uiPriority="18"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qFormat="1"/>
    <w:lsdException w:name="TOC Heading" w:uiPriority="39" w:qFormat="1"/>
  </w:latentStyles>
  <w:style w:type="paragraph" w:default="1" w:styleId="Normal">
    <w:name w:val="Normal"/>
    <w:qFormat/>
    <w:rPr>
      <w:kern w:val="24"/>
    </w:rPr>
  </w:style>
  <w:style w:type="paragraph" w:styleId="Heading1">
    <w:name w:val="heading 1"/>
    <w:basedOn w:val="Normal"/>
    <w:next w:val="Normal"/>
    <w:link w:val="Heading1Char"/>
    <w:uiPriority w:val="9"/>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1"/>
    <w:qFormat/>
    <w:pPr>
      <w:ind w:firstLine="0"/>
    </w:p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3"/>
    <w:rPr>
      <w:rFonts w:asciiTheme="majorHAnsi" w:eastAsiaTheme="majorEastAsia" w:hAnsiTheme="majorHAnsi" w:cstheme="majorBidi"/>
      <w:b/>
      <w:bCs/>
      <w:kern w:val="24"/>
    </w:rPr>
  </w:style>
  <w:style w:type="paragraph" w:styleId="Title">
    <w:name w:val="Title"/>
    <w:basedOn w:val="Normal"/>
    <w:next w:val="Normal"/>
    <w:link w:val="TitleChar"/>
    <w:uiPriority w:val="10"/>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0"/>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0"/>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character" w:styleId="Hyperlink">
    <w:name w:val="Hyperlink"/>
    <w:basedOn w:val="DefaultParagraphFont"/>
    <w:uiPriority w:val="99"/>
    <w:semiHidden/>
    <w:unhideWhenUsed/>
    <w:rsid w:val="00931C71"/>
    <w:rPr>
      <w:color w:val="0072BC"/>
      <w:u w:val="single"/>
    </w:rPr>
  </w:style>
  <w:style w:type="character" w:customStyle="1" w:styleId="body">
    <w:name w:val="body"/>
    <w:basedOn w:val="DefaultParagraphFont"/>
    <w:rsid w:val="00931C71"/>
  </w:style>
  <w:style w:type="character" w:customStyle="1" w:styleId="bodylabel">
    <w:name w:val="bodylabel"/>
    <w:basedOn w:val="DefaultParagraphFont"/>
    <w:rsid w:val="00931C71"/>
  </w:style>
  <w:style w:type="character" w:customStyle="1" w:styleId="columnbody">
    <w:name w:val="columnbody"/>
    <w:basedOn w:val="DefaultParagraphFont"/>
    <w:rsid w:val="00931C71"/>
  </w:style>
  <w:style w:type="character" w:customStyle="1" w:styleId="columnbold">
    <w:name w:val="columnbold"/>
    <w:basedOn w:val="DefaultParagraphFont"/>
    <w:rsid w:val="00931C71"/>
  </w:style>
  <w:style w:type="character" w:customStyle="1" w:styleId="newsdate1">
    <w:name w:val="newsdate1"/>
    <w:basedOn w:val="DefaultParagraphFont"/>
    <w:rsid w:val="00931C71"/>
    <w:rPr>
      <w:color w:val="5DB1E3"/>
      <w:sz w:val="15"/>
      <w:szCs w:val="15"/>
    </w:rPr>
  </w:style>
  <w:style w:type="character" w:customStyle="1" w:styleId="style2">
    <w:name w:val="style2"/>
    <w:basedOn w:val="DefaultParagraphFont"/>
    <w:rsid w:val="005F283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3" w:qFormat="1"/>
    <w:lsdException w:name="heading 3" w:uiPriority="3" w:qFormat="1"/>
    <w:lsdException w:name="heading 4" w:uiPriority="3" w:qFormat="1"/>
    <w:lsdException w:name="heading 5" w:uiPriority="3"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footnote reference" w:qFormat="1"/>
    <w:lsdException w:name="endnote text" w:qFormat="1"/>
    <w:lsdException w:name="List Bullet" w:qFormat="1"/>
    <w:lsdException w:name="List Number" w:qFormat="1"/>
    <w:lsdException w:name="Title" w:semiHidden="0" w:uiPriority="10" w:unhideWhenUsed="0" w:qFormat="1"/>
    <w:lsdException w:name="Default Paragraph Font" w:uiPriority="1"/>
    <w:lsdException w:name="Subtitle" w:uiPriority="18"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qFormat="1"/>
    <w:lsdException w:name="TOC Heading" w:uiPriority="39" w:qFormat="1"/>
  </w:latentStyles>
  <w:style w:type="paragraph" w:default="1" w:styleId="Normal">
    <w:name w:val="Normal"/>
    <w:qFormat/>
    <w:rPr>
      <w:kern w:val="24"/>
    </w:rPr>
  </w:style>
  <w:style w:type="paragraph" w:styleId="Heading1">
    <w:name w:val="heading 1"/>
    <w:basedOn w:val="Normal"/>
    <w:next w:val="Normal"/>
    <w:link w:val="Heading1Char"/>
    <w:uiPriority w:val="9"/>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3"/>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3"/>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3"/>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3"/>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1"/>
    <w:qFormat/>
    <w:pPr>
      <w:ind w:firstLine="0"/>
    </w:pPr>
  </w:style>
  <w:style w:type="character" w:customStyle="1" w:styleId="Heading1Char">
    <w:name w:val="Heading 1 Char"/>
    <w:basedOn w:val="DefaultParagraphFont"/>
    <w:link w:val="Heading1"/>
    <w:uiPriority w:val="9"/>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3"/>
    <w:rPr>
      <w:rFonts w:asciiTheme="majorHAnsi" w:eastAsiaTheme="majorEastAsia" w:hAnsiTheme="majorHAnsi" w:cstheme="majorBidi"/>
      <w:b/>
      <w:bCs/>
      <w:kern w:val="24"/>
    </w:rPr>
  </w:style>
  <w:style w:type="paragraph" w:styleId="Title">
    <w:name w:val="Title"/>
    <w:basedOn w:val="Normal"/>
    <w:next w:val="Normal"/>
    <w:link w:val="TitleChar"/>
    <w:uiPriority w:val="10"/>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0"/>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3"/>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3"/>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3"/>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0"/>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 w:type="character" w:styleId="Hyperlink">
    <w:name w:val="Hyperlink"/>
    <w:basedOn w:val="DefaultParagraphFont"/>
    <w:uiPriority w:val="99"/>
    <w:semiHidden/>
    <w:unhideWhenUsed/>
    <w:rsid w:val="00931C71"/>
    <w:rPr>
      <w:color w:val="0072BC"/>
      <w:u w:val="single"/>
    </w:rPr>
  </w:style>
  <w:style w:type="character" w:customStyle="1" w:styleId="body">
    <w:name w:val="body"/>
    <w:basedOn w:val="DefaultParagraphFont"/>
    <w:rsid w:val="00931C71"/>
  </w:style>
  <w:style w:type="character" w:customStyle="1" w:styleId="bodylabel">
    <w:name w:val="bodylabel"/>
    <w:basedOn w:val="DefaultParagraphFont"/>
    <w:rsid w:val="00931C71"/>
  </w:style>
  <w:style w:type="character" w:customStyle="1" w:styleId="columnbody">
    <w:name w:val="columnbody"/>
    <w:basedOn w:val="DefaultParagraphFont"/>
    <w:rsid w:val="00931C71"/>
  </w:style>
  <w:style w:type="character" w:customStyle="1" w:styleId="columnbold">
    <w:name w:val="columnbold"/>
    <w:basedOn w:val="DefaultParagraphFont"/>
    <w:rsid w:val="00931C71"/>
  </w:style>
  <w:style w:type="character" w:customStyle="1" w:styleId="newsdate1">
    <w:name w:val="newsdate1"/>
    <w:basedOn w:val="DefaultParagraphFont"/>
    <w:rsid w:val="00931C71"/>
    <w:rPr>
      <w:color w:val="5DB1E3"/>
      <w:sz w:val="15"/>
      <w:szCs w:val="15"/>
    </w:rPr>
  </w:style>
  <w:style w:type="character" w:customStyle="1" w:styleId="style2">
    <w:name w:val="style2"/>
    <w:basedOn w:val="DefaultParagraphFont"/>
    <w:rsid w:val="005F28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749956">
      <w:bodyDiv w:val="1"/>
      <w:marLeft w:val="0"/>
      <w:marRight w:val="0"/>
      <w:marTop w:val="0"/>
      <w:marBottom w:val="0"/>
      <w:divBdr>
        <w:top w:val="none" w:sz="0" w:space="0" w:color="auto"/>
        <w:left w:val="none" w:sz="0" w:space="0" w:color="auto"/>
        <w:bottom w:val="none" w:sz="0" w:space="0" w:color="auto"/>
        <w:right w:val="none" w:sz="0" w:space="0" w:color="auto"/>
      </w:divBdr>
    </w:div>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0714860">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376009463">
      <w:bodyDiv w:val="1"/>
      <w:marLeft w:val="0"/>
      <w:marRight w:val="0"/>
      <w:marTop w:val="0"/>
      <w:marBottom w:val="0"/>
      <w:divBdr>
        <w:top w:val="none" w:sz="0" w:space="0" w:color="auto"/>
        <w:left w:val="none" w:sz="0" w:space="0" w:color="auto"/>
        <w:bottom w:val="none" w:sz="0" w:space="0" w:color="auto"/>
        <w:right w:val="none" w:sz="0" w:space="0" w:color="auto"/>
      </w:divBdr>
      <w:divsChild>
        <w:div w:id="291205405">
          <w:marLeft w:val="0"/>
          <w:marRight w:val="0"/>
          <w:marTop w:val="0"/>
          <w:marBottom w:val="0"/>
          <w:divBdr>
            <w:top w:val="none" w:sz="0" w:space="0" w:color="auto"/>
            <w:left w:val="none" w:sz="0" w:space="0" w:color="auto"/>
            <w:bottom w:val="none" w:sz="0" w:space="0" w:color="auto"/>
            <w:right w:val="none" w:sz="0" w:space="0" w:color="auto"/>
          </w:divBdr>
          <w:divsChild>
            <w:div w:id="1765759006">
              <w:marLeft w:val="0"/>
              <w:marRight w:val="0"/>
              <w:marTop w:val="0"/>
              <w:marBottom w:val="0"/>
              <w:divBdr>
                <w:top w:val="none" w:sz="0" w:space="0" w:color="auto"/>
                <w:left w:val="none" w:sz="0" w:space="0" w:color="auto"/>
                <w:bottom w:val="none" w:sz="0" w:space="0" w:color="auto"/>
                <w:right w:val="none" w:sz="0" w:space="0" w:color="auto"/>
              </w:divBdr>
              <w:divsChild>
                <w:div w:id="1214197105">
                  <w:marLeft w:val="225"/>
                  <w:marRight w:val="225"/>
                  <w:marTop w:val="0"/>
                  <w:marBottom w:val="0"/>
                  <w:divBdr>
                    <w:top w:val="none" w:sz="0" w:space="0" w:color="auto"/>
                    <w:left w:val="none" w:sz="0" w:space="0" w:color="auto"/>
                    <w:bottom w:val="none" w:sz="0" w:space="0" w:color="auto"/>
                    <w:right w:val="none" w:sz="0" w:space="0" w:color="auto"/>
                  </w:divBdr>
                  <w:divsChild>
                    <w:div w:id="245305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134528">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475687460">
      <w:bodyDiv w:val="1"/>
      <w:marLeft w:val="0"/>
      <w:marRight w:val="0"/>
      <w:marTop w:val="0"/>
      <w:marBottom w:val="0"/>
      <w:divBdr>
        <w:top w:val="none" w:sz="0" w:space="0" w:color="auto"/>
        <w:left w:val="none" w:sz="0" w:space="0" w:color="auto"/>
        <w:bottom w:val="none" w:sz="0" w:space="0" w:color="auto"/>
        <w:right w:val="none" w:sz="0" w:space="0" w:color="auto"/>
      </w:divBdr>
    </w:div>
    <w:div w:id="483621030">
      <w:bodyDiv w:val="1"/>
      <w:marLeft w:val="0"/>
      <w:marRight w:val="0"/>
      <w:marTop w:val="0"/>
      <w:marBottom w:val="0"/>
      <w:divBdr>
        <w:top w:val="none" w:sz="0" w:space="0" w:color="auto"/>
        <w:left w:val="none" w:sz="0" w:space="0" w:color="auto"/>
        <w:bottom w:val="none" w:sz="0" w:space="0" w:color="auto"/>
        <w:right w:val="none" w:sz="0" w:space="0" w:color="auto"/>
      </w:divBdr>
      <w:divsChild>
        <w:div w:id="268051165">
          <w:marLeft w:val="0"/>
          <w:marRight w:val="0"/>
          <w:marTop w:val="0"/>
          <w:marBottom w:val="0"/>
          <w:divBdr>
            <w:top w:val="none" w:sz="0" w:space="0" w:color="auto"/>
            <w:left w:val="none" w:sz="0" w:space="0" w:color="auto"/>
            <w:bottom w:val="none" w:sz="0" w:space="0" w:color="auto"/>
            <w:right w:val="none" w:sz="0" w:space="0" w:color="auto"/>
          </w:divBdr>
          <w:divsChild>
            <w:div w:id="435977972">
              <w:marLeft w:val="75"/>
              <w:marRight w:val="0"/>
              <w:marTop w:val="0"/>
              <w:marBottom w:val="0"/>
              <w:divBdr>
                <w:top w:val="none" w:sz="0" w:space="0" w:color="auto"/>
                <w:left w:val="none" w:sz="0" w:space="0" w:color="auto"/>
                <w:bottom w:val="none" w:sz="0" w:space="0" w:color="auto"/>
                <w:right w:val="none" w:sz="0" w:space="0" w:color="auto"/>
              </w:divBdr>
              <w:divsChild>
                <w:div w:id="416244960">
                  <w:marLeft w:val="0"/>
                  <w:marRight w:val="75"/>
                  <w:marTop w:val="0"/>
                  <w:marBottom w:val="0"/>
                  <w:divBdr>
                    <w:top w:val="none" w:sz="0" w:space="0" w:color="auto"/>
                    <w:left w:val="none" w:sz="0" w:space="0" w:color="auto"/>
                    <w:bottom w:val="none" w:sz="0" w:space="0" w:color="auto"/>
                    <w:right w:val="none" w:sz="0" w:space="0" w:color="auto"/>
                  </w:divBdr>
                  <w:divsChild>
                    <w:div w:id="97668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809712706">
      <w:bodyDiv w:val="1"/>
      <w:marLeft w:val="0"/>
      <w:marRight w:val="0"/>
      <w:marTop w:val="0"/>
      <w:marBottom w:val="0"/>
      <w:divBdr>
        <w:top w:val="none" w:sz="0" w:space="0" w:color="auto"/>
        <w:left w:val="none" w:sz="0" w:space="0" w:color="auto"/>
        <w:bottom w:val="none" w:sz="0" w:space="0" w:color="auto"/>
        <w:right w:val="none" w:sz="0" w:space="0" w:color="auto"/>
      </w:divBdr>
    </w:div>
    <w:div w:id="842276761">
      <w:bodyDiv w:val="1"/>
      <w:marLeft w:val="0"/>
      <w:marRight w:val="0"/>
      <w:marTop w:val="0"/>
      <w:marBottom w:val="0"/>
      <w:divBdr>
        <w:top w:val="none" w:sz="0" w:space="0" w:color="auto"/>
        <w:left w:val="none" w:sz="0" w:space="0" w:color="auto"/>
        <w:bottom w:val="none" w:sz="0" w:space="0" w:color="auto"/>
        <w:right w:val="none" w:sz="0" w:space="0" w:color="auto"/>
      </w:divBdr>
    </w:div>
    <w:div w:id="874199604">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029113285">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300106962">
      <w:bodyDiv w:val="1"/>
      <w:marLeft w:val="0"/>
      <w:marRight w:val="0"/>
      <w:marTop w:val="0"/>
      <w:marBottom w:val="0"/>
      <w:divBdr>
        <w:top w:val="none" w:sz="0" w:space="0" w:color="auto"/>
        <w:left w:val="none" w:sz="0" w:space="0" w:color="auto"/>
        <w:bottom w:val="none" w:sz="0" w:space="0" w:color="auto"/>
        <w:right w:val="none" w:sz="0" w:space="0" w:color="auto"/>
      </w:divBdr>
    </w:div>
    <w:div w:id="1364480013">
      <w:bodyDiv w:val="1"/>
      <w:marLeft w:val="0"/>
      <w:marRight w:val="0"/>
      <w:marTop w:val="0"/>
      <w:marBottom w:val="0"/>
      <w:divBdr>
        <w:top w:val="none" w:sz="0" w:space="0" w:color="auto"/>
        <w:left w:val="none" w:sz="0" w:space="0" w:color="auto"/>
        <w:bottom w:val="none" w:sz="0" w:space="0" w:color="auto"/>
        <w:right w:val="none" w:sz="0" w:space="0" w:color="auto"/>
      </w:divBdr>
    </w:div>
    <w:div w:id="13674114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42339239">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478911348">
      <w:bodyDiv w:val="1"/>
      <w:marLeft w:val="0"/>
      <w:marRight w:val="0"/>
      <w:marTop w:val="0"/>
      <w:marBottom w:val="0"/>
      <w:divBdr>
        <w:top w:val="none" w:sz="0" w:space="0" w:color="auto"/>
        <w:left w:val="none" w:sz="0" w:space="0" w:color="auto"/>
        <w:bottom w:val="none" w:sz="0" w:space="0" w:color="auto"/>
        <w:right w:val="none" w:sz="0" w:space="0" w:color="auto"/>
      </w:divBdr>
    </w:div>
    <w:div w:id="1488470518">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493402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602840736">
      <w:bodyDiv w:val="1"/>
      <w:marLeft w:val="0"/>
      <w:marRight w:val="0"/>
      <w:marTop w:val="0"/>
      <w:marBottom w:val="0"/>
      <w:divBdr>
        <w:top w:val="none" w:sz="0" w:space="0" w:color="auto"/>
        <w:left w:val="none" w:sz="0" w:space="0" w:color="auto"/>
        <w:bottom w:val="none" w:sz="0" w:space="0" w:color="auto"/>
        <w:right w:val="none" w:sz="0" w:space="0" w:color="auto"/>
      </w:divBdr>
    </w:div>
    <w:div w:id="1613593361">
      <w:bodyDiv w:val="1"/>
      <w:marLeft w:val="0"/>
      <w:marRight w:val="0"/>
      <w:marTop w:val="0"/>
      <w:marBottom w:val="0"/>
      <w:divBdr>
        <w:top w:val="none" w:sz="0" w:space="0" w:color="auto"/>
        <w:left w:val="none" w:sz="0" w:space="0" w:color="auto"/>
        <w:bottom w:val="none" w:sz="0" w:space="0" w:color="auto"/>
        <w:right w:val="none" w:sz="0" w:space="0" w:color="auto"/>
      </w:divBdr>
    </w:div>
    <w:div w:id="1648508618">
      <w:bodyDiv w:val="1"/>
      <w:marLeft w:val="0"/>
      <w:marRight w:val="0"/>
      <w:marTop w:val="0"/>
      <w:marBottom w:val="0"/>
      <w:divBdr>
        <w:top w:val="none" w:sz="0" w:space="0" w:color="auto"/>
        <w:left w:val="none" w:sz="0" w:space="0" w:color="auto"/>
        <w:bottom w:val="none" w:sz="0" w:space="0" w:color="auto"/>
        <w:right w:val="none" w:sz="0" w:space="0" w:color="auto"/>
      </w:divBdr>
    </w:div>
    <w:div w:id="1649246081">
      <w:bodyDiv w:val="1"/>
      <w:marLeft w:val="0"/>
      <w:marRight w:val="0"/>
      <w:marTop w:val="0"/>
      <w:marBottom w:val="0"/>
      <w:divBdr>
        <w:top w:val="none" w:sz="0" w:space="0" w:color="auto"/>
        <w:left w:val="none" w:sz="0" w:space="0" w:color="auto"/>
        <w:bottom w:val="none" w:sz="0" w:space="0" w:color="auto"/>
        <w:right w:val="none" w:sz="0" w:space="0" w:color="auto"/>
      </w:divBdr>
    </w:div>
    <w:div w:id="1665353183">
      <w:bodyDiv w:val="1"/>
      <w:marLeft w:val="0"/>
      <w:marRight w:val="0"/>
      <w:marTop w:val="0"/>
      <w:marBottom w:val="0"/>
      <w:divBdr>
        <w:top w:val="none" w:sz="0" w:space="0" w:color="auto"/>
        <w:left w:val="none" w:sz="0" w:space="0" w:color="auto"/>
        <w:bottom w:val="none" w:sz="0" w:space="0" w:color="auto"/>
        <w:right w:val="none" w:sz="0" w:space="0" w:color="auto"/>
      </w:divBdr>
    </w:div>
    <w:div w:id="1732851659">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73159813">
      <w:bodyDiv w:val="1"/>
      <w:marLeft w:val="0"/>
      <w:marRight w:val="0"/>
      <w:marTop w:val="0"/>
      <w:marBottom w:val="0"/>
      <w:divBdr>
        <w:top w:val="none" w:sz="0" w:space="0" w:color="auto"/>
        <w:left w:val="none" w:sz="0" w:space="0" w:color="auto"/>
        <w:bottom w:val="none" w:sz="0" w:space="0" w:color="auto"/>
        <w:right w:val="none" w:sz="0" w:space="0" w:color="auto"/>
      </w:divBdr>
      <w:divsChild>
        <w:div w:id="1899701256">
          <w:marLeft w:val="3000"/>
          <w:marRight w:val="0"/>
          <w:marTop w:val="0"/>
          <w:marBottom w:val="0"/>
          <w:divBdr>
            <w:top w:val="none" w:sz="0" w:space="0" w:color="auto"/>
            <w:left w:val="none" w:sz="0" w:space="0" w:color="auto"/>
            <w:bottom w:val="none" w:sz="0" w:space="0" w:color="auto"/>
            <w:right w:val="none" w:sz="0" w:space="0" w:color="auto"/>
          </w:divBdr>
        </w:div>
      </w:divsChild>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74556838">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19890006">
      <w:bodyDiv w:val="1"/>
      <w:marLeft w:val="0"/>
      <w:marRight w:val="0"/>
      <w:marTop w:val="0"/>
      <w:marBottom w:val="0"/>
      <w:divBdr>
        <w:top w:val="none" w:sz="0" w:space="0" w:color="auto"/>
        <w:left w:val="none" w:sz="0" w:space="0" w:color="auto"/>
        <w:bottom w:val="none" w:sz="0" w:space="0" w:color="auto"/>
        <w:right w:val="none" w:sz="0" w:space="0" w:color="auto"/>
      </w:divBdr>
    </w:div>
    <w:div w:id="2065372970">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19330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endnotes" Target="endnotes.xml"/>
  <Relationship Id="rId11" Type="http://schemas.openxmlformats.org/officeDocument/2006/relationships/image" Target="media/image1.jpg"/>
  <Relationship Id="rId12" Type="http://schemas.openxmlformats.org/officeDocument/2006/relationships/image" Target="media/image2.jpg"/>
  <Relationship Id="rId13" Type="http://schemas.openxmlformats.org/officeDocument/2006/relationships/chart" Target="charts/chart1.xml"/>
  <Relationship Id="rId14" Type="http://schemas.openxmlformats.org/officeDocument/2006/relationships/header" Target="header1.xml"/>
  <Relationship Id="rId15" Type="http://schemas.openxmlformats.org/officeDocument/2006/relationships/header" Target="header2.xml"/>
  <Relationship Id="rId16" Type="http://schemas.openxmlformats.org/officeDocument/2006/relationships/fontTable" Target="fontTable.xml"/>
  <Relationship Id="rId17" Type="http://schemas.openxmlformats.org/officeDocument/2006/relationships/theme" Target="theme/theme1.xml"/>
  <Relationship Id="rId2" Type="http://schemas.openxmlformats.org/officeDocument/2006/relationships/customXml" Target="../customXml/item2.xml"/>
  <Relationship Id="rId3" Type="http://schemas.openxmlformats.org/officeDocument/2006/relationships/customXml" Target="../customXml/item3.xml"/>
  <Relationship Id="rId4" Type="http://schemas.openxmlformats.org/officeDocument/2006/relationships/numbering" Target="numbering.xml"/>
  <Relationship Id="rId5" Type="http://schemas.openxmlformats.org/officeDocument/2006/relationships/styles" Target="styles.xml"/>
  <Relationship Id="rId6" Type="http://schemas.microsoft.com/office/2007/relationships/stylesWithEffects" Target="stylesWithEffects.xml"/>
  <Relationship Id="rId7" Type="http://schemas.openxmlformats.org/officeDocument/2006/relationships/settings" Target="settings.xml"/>
  <Relationship Id="rId8" Type="http://schemas.openxmlformats.org/officeDocument/2006/relationships/webSettings" Target="webSettings.xml"/>
  <Relationship Id="rId9" Type="http://schemas.openxmlformats.org/officeDocument/2006/relationships/footnotes" Target="footnotes.xml"/>
</Relationships>

</file>

<file path=word/_rels/settings.xml.rels><?xml version="1.0" encoding="UTF-8"?>

<Relationships xmlns="http://schemas.openxmlformats.org/package/2006/relationships">
  <Relationship Id="rId1" Type="http://schemas.openxmlformats.org/officeDocument/2006/relationships/attachedTemplate" TargetMode="External" Target="file:///C:/Users/Deb/AppData/Roaming/Microsoft/Templates/APA%20style%20report%20(6th%20edition).dotx"/>
</Relationships>

</file>

<file path=word/charts/_rels/chart1.xml.rels><?xml version="1.0" encoding="UTF-8"?>

<Relationships xmlns="http://schemas.openxmlformats.org/package/2006/relationships">
  <Relationship Id="rId1" Type="http://schemas.openxmlformats.org/officeDocument/2006/relationships/package" Target="../embeddings/Microsoft_Excel_Sheet1.xlsx"/>
</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er>
        <c:ser>
          <c:idx val="1"/>
          <c:order val="1"/>
          <c:tx>
            <c:strRef>
              <c:f>Sheet1!$C$1</c:f>
              <c:strCache>
                <c:ptCount val="1"/>
                <c:pt idx="0">
                  <c:v>Series 2</c:v>
                </c:pt>
              </c:strCache>
            </c:strRef>
          </c:tx>
          <c:spPr>
            <a:solidFill>
              <a:schemeClr val="accent2"/>
            </a:solidFill>
            <a:ln>
              <a:noFill/>
            </a:ln>
            <a:effectLst/>
          </c:spPr>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c:v>
                </c:pt>
                <c:pt idx="2">
                  <c:v>1.8</c:v>
                </c:pt>
                <c:pt idx="3">
                  <c:v>2.8</c:v>
                </c:pt>
              </c:numCache>
            </c:numRef>
          </c:val>
        </c:ser>
        <c:ser>
          <c:idx val="2"/>
          <c:order val="2"/>
          <c:tx>
            <c:strRef>
              <c:f>Sheet1!$D$1</c:f>
              <c:strCache>
                <c:ptCount val="1"/>
                <c:pt idx="0">
                  <c:v>Series 3</c:v>
                </c:pt>
              </c:strCache>
            </c:strRef>
          </c:tx>
          <c:spPr>
            <a:solidFill>
              <a:schemeClr val="accent3"/>
            </a:solidFill>
            <a:ln>
              <a:noFill/>
            </a:ln>
            <a:effectLst/>
          </c:spPr>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2.0</c:v>
                </c:pt>
                <c:pt idx="1">
                  <c:v>2.0</c:v>
                </c:pt>
                <c:pt idx="2">
                  <c:v>3.0</c:v>
                </c:pt>
                <c:pt idx="3">
                  <c:v>5.0</c:v>
                </c:pt>
              </c:numCache>
            </c:numRef>
          </c:val>
        </c:ser>
        <c:dLbls>
          <c:showLegendKey val="0"/>
          <c:showVal val="0"/>
          <c:showCatName val="0"/>
          <c:showSerName val="0"/>
          <c:showPercent val="0"/>
          <c:showBubbleSize val="0"/>
        </c:dLbls>
        <c:gapWidth val="219"/>
        <c:overlap val="-27"/>
        <c:axId val="2112150296"/>
        <c:axId val="2112154024"/>
      </c:barChart>
      <c:catAx>
        <c:axId val="21121502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2154024"/>
        <c:crosses val="autoZero"/>
        <c:auto val="1"/>
        <c:lblAlgn val="ctr"/>
        <c:lblOffset val="100"/>
        <c:noMultiLvlLbl val="0"/>
      </c:catAx>
      <c:valAx>
        <c:axId val="21121540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2150296"/>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item1.xml><?xml version="1.0" encoding="utf-8"?>
<CoverPageProperties xmlns="http://schemas.microsoft.com/office/2006/coverPageProps">
  <PublishDate/>
  <Abstract>THE collared peccary</Abstract>
  <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Sixth Edition" Version="6">
  <b:Source>
    <b:Tag>Pon08</b:Tag>
    <b:SourceType>InternetSite</b:SourceType>
    <b:Guid>{559F65BC-5259-46CC-938B-25BCD87E5773}</b:Guid>
    <b:Author>
      <b:Author>
        <b:Corporate>Ponderosa Images Co.</b:Corporate>
      </b:Author>
    </b:Author>
    <b:Title>Javelina Family Life: An Educational Wildlife Documentary</b:Title>
    <b:InternetSiteTitle>Javelina Family Life.com</b:InternetSiteTitle>
    <b:Year>2008</b:Year>
    <b:URL>http://www.javelinafamilylife.com/about-javelinas.shtml</b:URL>
    <b:RefOrder>3</b:RefOrder>
  </b:Source>
  <b:Source>
    <b:Tag>Dep15</b:Tag>
    <b:SourceType>InternetSite</b:SourceType>
    <b:Guid>{D9C3E635-26D5-4558-BB13-308384B84010}</b:Guid>
    <b:Author>
      <b:Author>
        <b:Corporate>Department of Arizona Game &amp; Fish</b:Corporate>
      </b:Author>
    </b:Author>
    <b:Title>Javelina</b:Title>
    <b:InternetSiteTitle>Department of Arizona Game &amp; Fish</b:InternetSiteTitle>
    <b:Year>2015</b:Year>
    <b:URL>http://azgfdportal.az.gov/hunting/species/biggame/javelina</b:URL>
    <b:RefOrder>5</b:RefOrder>
  </b:Source>
  <b:Source>
    <b:Tag>Gro12</b:Tag>
    <b:SourceType>DocumentFromInternetSite</b:SourceType>
    <b:Guid>{D049904E-11D4-4333-BCF8-B25DF5528441}</b:Guid>
    <b:Title>Analysis of pig genomes provide insight into procine demography and evolution</b:Title>
    <b:InternetSiteTitle>Nature</b:InternetSiteTitle>
    <b:Year>2012</b:Year>
    <b:Month>November</b:Month>
    <b:Day>14</b:Day>
    <b:URL>http://www.nature.com/nature/journal/v491/n7424/full/nature11622.html#author-information</b:URL>
    <b:Author>
      <b:Author>
        <b:NameList>
          <b:Person>
            <b:Last>Groenen</b:Last>
            <b:First>Martien</b:First>
            <b:Middle>A M</b:Middle>
          </b:Person>
          <b:Person>
            <b:Last>Archibald</b:Last>
            <b:First>Alan</b:First>
            <b:Middle>L</b:Middle>
          </b:Person>
        </b:NameList>
      </b:Author>
    </b:Author>
    <b:RefOrder>6</b:RefOrder>
  </b:Source>
  <b:Source>
    <b:Tag>The10</b:Tag>
    <b:SourceType>DocumentFromInternetSite</b:SourceType>
    <b:Guid>{0E3F9858-2703-4EFA-86B7-A92236138989}</b:Guid>
    <b:Author>
      <b:Author>
        <b:Corporate>The Pig Site News Desk</b:Corporate>
      </b:Author>
    </b:Author>
    <b:Title>New Study on Evolution of Pigs</b:Title>
    <b:InternetSiteTitle>The Pig Site</b:InternetSiteTitle>
    <b:Year>2010</b:Year>
    <b:Month>March</b:Month>
    <b:Day>1</b:Day>
    <b:URL>http://www.thepigsite.com/swinenews/23243/new-study-on-evolution-of-pigs/</b:URL>
    <b:RefOrder>7</b:RefOrder>
  </b:Source>
  <b:Source>
    <b:Tag>New15</b:Tag>
    <b:SourceType>InternetSite</b:SourceType>
    <b:Guid>{AE3FB937-E6EB-401E-992A-0C31D36B9960}</b:Guid>
    <b:Title>collared Peccary - Pecari tajacy</b:Title>
    <b:InternetSiteTitle>Nature Works</b:InternetSiteTitle>
    <b:Year>2015</b:Year>
    <b:URL>http://www.nhptv.org/natureworks/peccary.htm</b:URL>
    <b:Author>
      <b:Author>
        <b:Corporate>New Hamphire Public Television</b:Corporate>
      </b:Author>
    </b:Author>
    <b:RefOrder>8</b:RefOrder>
  </b:Source>
  <b:Source>
    <b:Tag>Grouk</b:Tag>
    <b:SourceType>DocumentFromInternetSite</b:SourceType>
    <b:Guid>{3C1192CA-B545-42D3-AED0-8DD6F789485E}</b:Guid>
    <b:Title>SelSweep: Molecular characterization of genetic factors in the pig under selection during speciation, domestication ad breeding</b:Title>
    <b:InternetSiteTitle>Wageningen University</b:InternetSiteTitle>
    <b:Year>u.k.</b:Year>
    <b:URL>www.quantomics.eu/.../1.4_overview_selsweep.pdf</b:URL>
    <b:Author>
      <b:Author>
        <b:NameList>
          <b:Person>
            <b:Last>Groenen</b:Last>
            <b:First>Martien</b:First>
          </b:Person>
        </b:NameList>
      </b:Author>
    </b:Author>
    <b:RefOrder>1</b:RefOrder>
  </b:Source>
  <b:Source>
    <b:Tag>Sim13</b:Tag>
    <b:SourceType>Book</b:SourceType>
    <b:Guid>{0E30F758-7EF7-4578-A026-2D5BDDE5F044}</b:Guid>
    <b:Title>Campbell Essential Biology with Physiology, 4th edition</b:Title>
    <b:Year>2013</b:Year>
    <b:Author>
      <b:Author>
        <b:NameList>
          <b:Person>
            <b:Last>Simon</b:Last>
            <b:First>Eric</b:First>
            <b:Middle>J</b:Middle>
          </b:Person>
          <b:Person>
            <b:Last>Dickey</b:Last>
            <b:First>Jean</b:First>
            <b:Middle>L</b:Middle>
          </b:Person>
          <b:Person>
            <b:Last>Reece</b:Last>
            <b:First>Jane</b:First>
            <b:Middle>B</b:Middle>
          </b:Person>
        </b:NameList>
      </b:Author>
    </b:Author>
    <b:Publisher>Benjamin Cummings</b:Publisher>
    <b:RefOrder>2</b:RefOrder>
  </b:Source>
  <b:Source>
    <b:Tag>Sil09</b:Tag>
    <b:SourceType>DocumentFromInternetSite</b:SourceType>
    <b:Guid>{79CA9A07-CBEE-4FB7-89EA-3B50B2E84B16}</b:Guid>
    <b:Title>Evaluatio of genetic variability in the collared peccary Pecari tajacu and the white-lipped peccary Tayassu pecari by microsatellite markers</b:Title>
    <b:InternetSiteTitle>Genetics and Molecular Biology Online Ahead of Print</b:InternetSiteTitle>
    <b:Year>2009</b:Year>
    <b:Month>July</b:Month>
    <b:Day>1</b:Day>
    <b:URL>www.sbg.org.br</b:URL>
    <b:Author>
      <b:Author>
        <b:NameList>
          <b:Person>
            <b:Last>Silva</b:Last>
            <b:First>Roxane</b:First>
            <b:Middle>Wirschum</b:Middle>
          </b:Person>
          <b:Person>
            <b:Last>de Freitas</b:Last>
            <b:First>Thales</b:First>
            <b:Middle>R O</b:Middle>
          </b:Person>
          <b:Person>
            <b:Last>Sbalqueiro</b:Last>
            <b:First>Ives</b:First>
            <b:Middle>Jose</b:Middle>
          </b:Person>
        </b:NameList>
      </b:Author>
    </b:Author>
    <b:RefOrder>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C49F074-30BA-4C9C-B9EE-E13520AAFA01}">
  <ds:schemaRefs>
    <ds:schemaRef ds:uri="http://schemas.microsoft.com/sharepoint/v3/contenttype/forms"/>
  </ds:schemaRefs>
</ds:datastoreItem>
</file>

<file path=customXml/itemProps3.xml><?xml version="1.0" encoding="utf-8"?>
<ds:datastoreItem xmlns:ds="http://schemas.openxmlformats.org/officeDocument/2006/customXml" ds:itemID="{8CBCD929-BD87-254B-AC62-6F55ECD21F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
  <TotalTime>0</TotalTime>
  <Pages>10</Pages>
  <Words>1495</Words>
  <Characters>8524</Characters>
  <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In the 1930’s antibiotics became widely used to combat many different illnesses such as tuberculosis and other bacterial forms of infections. However, as antibiotics became more commonly used bacteria became more resistant to these medications resulting i</vt:lpstr>
    </vt:vector>
  </TitlesOfParts>
  <Company/>
  <LinksUpToDate>false</LinksUpToDate>
  <CharactersWithSpaces>10000</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

<file path=docProps/custom.xml><?xml version="1.0" encoding="utf-8"?>
<Properties xmlns="http://schemas.openxmlformats.org/officeDocument/2006/custom-properties" xmlns:vt="http://schemas.openxmlformats.org/officeDocument/2006/docPropsVTypes"/>
</file>